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80" w:rsidRPr="00F716A1" w:rsidRDefault="003A70E3" w:rsidP="00D86D1B">
      <w:pPr>
        <w:rPr>
          <w:b/>
        </w:rPr>
      </w:pPr>
      <w:r>
        <w:rPr>
          <w:b/>
        </w:rPr>
        <w:t>Manizales, Abril 23</w:t>
      </w:r>
      <w:r w:rsidR="00203CE5" w:rsidRPr="00F716A1">
        <w:rPr>
          <w:b/>
        </w:rPr>
        <w:t xml:space="preserve"> </w:t>
      </w:r>
      <w:r w:rsidR="004D2634" w:rsidRPr="00F716A1">
        <w:rPr>
          <w:b/>
        </w:rPr>
        <w:t xml:space="preserve"> de 2014. </w:t>
      </w:r>
    </w:p>
    <w:p w:rsidR="004D2634" w:rsidRPr="00F716A1" w:rsidRDefault="004D2634" w:rsidP="00D86D1B">
      <w:pPr>
        <w:rPr>
          <w:b/>
        </w:rPr>
      </w:pPr>
    </w:p>
    <w:p w:rsidR="004D2634" w:rsidRPr="00F716A1" w:rsidRDefault="004D2634" w:rsidP="00D86D1B">
      <w:pPr>
        <w:rPr>
          <w:b/>
        </w:rPr>
      </w:pPr>
    </w:p>
    <w:p w:rsidR="004D2634" w:rsidRPr="00F716A1" w:rsidRDefault="004D2634" w:rsidP="00D86D1B">
      <w:pPr>
        <w:rPr>
          <w:b/>
        </w:rPr>
      </w:pPr>
    </w:p>
    <w:p w:rsidR="004D2634" w:rsidRPr="00F716A1" w:rsidRDefault="004D2634" w:rsidP="00D86D1B">
      <w:pPr>
        <w:rPr>
          <w:b/>
        </w:rPr>
      </w:pPr>
      <w:r w:rsidRPr="00F716A1">
        <w:rPr>
          <w:b/>
        </w:rPr>
        <w:t xml:space="preserve">Doctora </w:t>
      </w:r>
    </w:p>
    <w:p w:rsidR="004D2634" w:rsidRPr="00F716A1" w:rsidRDefault="004D2634" w:rsidP="00D86D1B">
      <w:pPr>
        <w:rPr>
          <w:b/>
        </w:rPr>
      </w:pPr>
      <w:r w:rsidRPr="00F716A1">
        <w:rPr>
          <w:b/>
        </w:rPr>
        <w:t>DALILA ASTRID HERNÁNDEZ CORZO</w:t>
      </w:r>
    </w:p>
    <w:p w:rsidR="004D2634" w:rsidRPr="00F716A1" w:rsidRDefault="004D2634" w:rsidP="00D86D1B">
      <w:pPr>
        <w:rPr>
          <w:b/>
        </w:rPr>
      </w:pPr>
      <w:r w:rsidRPr="00F716A1">
        <w:rPr>
          <w:b/>
        </w:rPr>
        <w:t xml:space="preserve">DIRECTORA DE GESTIÓN JURÍDICA </w:t>
      </w:r>
    </w:p>
    <w:p w:rsidR="004D2634" w:rsidRPr="00F716A1" w:rsidRDefault="004D2634" w:rsidP="00D86D1B">
      <w:pPr>
        <w:rPr>
          <w:b/>
        </w:rPr>
      </w:pPr>
      <w:r w:rsidRPr="00F716A1">
        <w:rPr>
          <w:b/>
        </w:rPr>
        <w:t>DIAN- BOGOTA.</w:t>
      </w:r>
    </w:p>
    <w:p w:rsidR="004D2634" w:rsidRPr="00F716A1" w:rsidRDefault="004D2634" w:rsidP="00D86D1B">
      <w:pPr>
        <w:rPr>
          <w:b/>
        </w:rPr>
      </w:pPr>
    </w:p>
    <w:p w:rsidR="004D2634" w:rsidRPr="00F716A1" w:rsidRDefault="004D2634" w:rsidP="00D86D1B">
      <w:pPr>
        <w:rPr>
          <w:b/>
        </w:rPr>
      </w:pPr>
      <w:r w:rsidRPr="00F716A1">
        <w:rPr>
          <w:b/>
        </w:rPr>
        <w:t>REF: DERECHO DE PETICIÓN- ARTÍCULO 23 CONSTITUCIÓN POLÍTICA.</w:t>
      </w:r>
    </w:p>
    <w:p w:rsidR="004D2634" w:rsidRDefault="004D2634" w:rsidP="00D86D1B"/>
    <w:p w:rsidR="004D2634" w:rsidRDefault="004D2634" w:rsidP="00D86D1B"/>
    <w:p w:rsidR="00507AA7" w:rsidRPr="00507AA7" w:rsidRDefault="00507AA7" w:rsidP="00D86D1B">
      <w:pPr>
        <w:spacing w:after="200"/>
        <w:rPr>
          <w:szCs w:val="24"/>
        </w:rPr>
      </w:pPr>
      <w:r w:rsidRPr="00507AA7">
        <w:rPr>
          <w:szCs w:val="24"/>
        </w:rPr>
        <w:t xml:space="preserve">En ejercicio del derecho de petición consagrado en el artículo 23 de la Constitución Política y con base en los derechos establecidos en los numerales 7, 9 y 15 del artículo193 de la Ley 1607 de diciembre 26 de 2012, me permito elevar ante su despacho las siguientes consultas de carácter tributario: </w:t>
      </w:r>
    </w:p>
    <w:p w:rsidR="004D2634" w:rsidRDefault="004D2634" w:rsidP="00D86D1B"/>
    <w:p w:rsidR="00507AA7" w:rsidRPr="00643036" w:rsidRDefault="00507AA7" w:rsidP="00D86D1B">
      <w:pPr>
        <w:rPr>
          <w:b/>
          <w:u w:val="single"/>
        </w:rPr>
      </w:pPr>
      <w:r>
        <w:t xml:space="preserve">De acuerdo a respuesta enviada a derecho de petición que elevará el señor José Fernando </w:t>
      </w:r>
      <w:proofErr w:type="spellStart"/>
      <w:r>
        <w:t>Alzate</w:t>
      </w:r>
      <w:proofErr w:type="spellEnd"/>
      <w:r>
        <w:t xml:space="preserve"> Galvis ante</w:t>
      </w:r>
      <w:r w:rsidR="00FF4517">
        <w:t xml:space="preserve"> esa Dirección y que fue remitido</w:t>
      </w:r>
      <w:r>
        <w:t xml:space="preserve">  por competencia al Ministerio de Salud y Protección Social, de la cual se anexa fotocopia al presente petitorio, </w:t>
      </w:r>
      <w:r w:rsidR="00B351E8">
        <w:t xml:space="preserve">(Radicado No. 201311201 6025401 de noviembre 26 de 2013), </w:t>
      </w:r>
      <w:r w:rsidRPr="00643036">
        <w:rPr>
          <w:b/>
        </w:rPr>
        <w:t xml:space="preserve">expresa dicho Ministerio que el Decreto 1070 de 2013 en su artículo 3º </w:t>
      </w:r>
      <w:r w:rsidRPr="00643036">
        <w:rPr>
          <w:b/>
          <w:u w:val="single"/>
        </w:rPr>
        <w:t>no reglamenta los artículos 26 y 27 de la ley 1393 de 2010.</w:t>
      </w:r>
    </w:p>
    <w:p w:rsidR="00507AA7" w:rsidRDefault="00507AA7" w:rsidP="00D86D1B"/>
    <w:p w:rsidR="00B351E8" w:rsidRDefault="00507AA7" w:rsidP="00D86D1B">
      <w:r>
        <w:t>De igual manera</w:t>
      </w:r>
      <w:r w:rsidR="00B351E8">
        <w:t xml:space="preserve">, en respuesta a las preguntas Nos 2, 3, 4 y 5 </w:t>
      </w:r>
      <w:r>
        <w:t xml:space="preserve"> expresa la respuesta a página 4 que: </w:t>
      </w:r>
      <w:r w:rsidR="00B351E8">
        <w:t xml:space="preserve"> </w:t>
      </w:r>
    </w:p>
    <w:p w:rsidR="00B351E8" w:rsidRDefault="00B351E8" w:rsidP="00D86D1B">
      <w:bookmarkStart w:id="0" w:name="_GoBack"/>
      <w:bookmarkEnd w:id="0"/>
    </w:p>
    <w:p w:rsidR="00507AA7" w:rsidRDefault="001C6260" w:rsidP="00D86D1B">
      <w:pPr>
        <w:ind w:left="567" w:right="567"/>
      </w:pPr>
      <w:r>
        <w:t>“</w:t>
      </w:r>
      <w:r w:rsidR="00B351E8">
        <w:t xml:space="preserve">Respecto a los anteriores interrogantes, es preciso indicarle </w:t>
      </w:r>
      <w:r w:rsidR="00B351E8" w:rsidRPr="00F25391">
        <w:rPr>
          <w:b/>
        </w:rPr>
        <w:t xml:space="preserve">que </w:t>
      </w:r>
      <w:r w:rsidR="00507AA7" w:rsidRPr="00F25391">
        <w:rPr>
          <w:b/>
        </w:rPr>
        <w:t>con base en las dificultades que el tema atinente a la determinación del ingreso base de cotización de los contratistas ha generado, este Ministerio en conjunto con las carteras de Hacienda y Crédito Público, Ministerio de Trabajo y la U</w:t>
      </w:r>
      <w:r w:rsidR="00B351E8" w:rsidRPr="00F25391">
        <w:rPr>
          <w:b/>
        </w:rPr>
        <w:t>nidad Administrativa de Gestión Pensional y Contribuciones Parafiscales de la Protección Social – UGPP</w:t>
      </w:r>
      <w:r w:rsidR="00B351E8">
        <w:t xml:space="preserve">, ha adelantado desde el mes de agosto del presente año, unas mesas de trabajo con el objeto de que a través de un proceso concertado se reglamente, entre otros lo dispuesto por el artículo 18 de la ley 1122 de 2007, en lo relativo a la determinación del ingreso base de  </w:t>
      </w:r>
      <w:proofErr w:type="gramStart"/>
      <w:r w:rsidR="00B351E8">
        <w:t>cotización</w:t>
      </w:r>
      <w:proofErr w:type="gramEnd"/>
      <w:r w:rsidR="00B351E8">
        <w:t xml:space="preserve"> al Sistema de Seguridad Social de los contratistas.” </w:t>
      </w:r>
    </w:p>
    <w:p w:rsidR="00B351E8" w:rsidRDefault="00B351E8" w:rsidP="00D86D1B">
      <w:pPr>
        <w:ind w:right="567"/>
      </w:pPr>
    </w:p>
    <w:p w:rsidR="001D657F" w:rsidRPr="00F25391" w:rsidRDefault="00A87B30" w:rsidP="00D86D1B">
      <w:pPr>
        <w:rPr>
          <w:b/>
        </w:rPr>
      </w:pPr>
      <w:r>
        <w:lastRenderedPageBreak/>
        <w:t>Teniendo como soporte</w:t>
      </w:r>
      <w:r w:rsidR="001D657F">
        <w:t xml:space="preserve"> la respuesta dada por el Ministerio de </w:t>
      </w:r>
      <w:r w:rsidR="006F773D">
        <w:t xml:space="preserve">Protección Social en cuanto a que </w:t>
      </w:r>
      <w:r w:rsidR="001D657F">
        <w:t xml:space="preserve"> el artículo 3º del decreto 1070 (modificado por el artículo 9º del decreto 3032 de 2013) </w:t>
      </w:r>
      <w:r w:rsidR="006F773D">
        <w:t xml:space="preserve">no reglamentó los artículos 26 y 27 de la ley 1393 de 2010, se plantean a su despacho las siguientes </w:t>
      </w:r>
      <w:r w:rsidR="006F773D" w:rsidRPr="00F25391">
        <w:rPr>
          <w:b/>
        </w:rPr>
        <w:t xml:space="preserve">consultas: </w:t>
      </w:r>
    </w:p>
    <w:p w:rsidR="006F773D" w:rsidRDefault="006F773D" w:rsidP="00D86D1B">
      <w:pPr>
        <w:ind w:right="567"/>
      </w:pPr>
    </w:p>
    <w:p w:rsidR="006F773D" w:rsidRPr="006F773D" w:rsidRDefault="006F773D" w:rsidP="00D86D1B">
      <w:pPr>
        <w:rPr>
          <w:b/>
        </w:rPr>
      </w:pPr>
      <w:r w:rsidRPr="006F773D">
        <w:rPr>
          <w:b/>
        </w:rPr>
        <w:t xml:space="preserve">PRIMERA: </w:t>
      </w:r>
    </w:p>
    <w:p w:rsidR="006F773D" w:rsidRDefault="006F773D" w:rsidP="00D86D1B"/>
    <w:p w:rsidR="006F773D" w:rsidRPr="00A87B30" w:rsidRDefault="006F773D" w:rsidP="00D86D1B">
      <w:pPr>
        <w:rPr>
          <w:b/>
          <w:sz w:val="32"/>
          <w:szCs w:val="32"/>
        </w:rPr>
      </w:pPr>
      <w:r>
        <w:t>¿Puede la Dian desconocer los pagos efectuados a las personas naturales</w:t>
      </w:r>
      <w:r w:rsidR="00A87B30">
        <w:t xml:space="preserve"> residentes </w:t>
      </w:r>
      <w:r>
        <w:t xml:space="preserve"> por la prestación de servicios </w:t>
      </w:r>
      <w:r w:rsidR="0093195A">
        <w:t xml:space="preserve">en aquellos casos en </w:t>
      </w:r>
      <w:r>
        <w:t xml:space="preserve">que no esté demostrado el pago de los aportes a la seguridad social por parte del contratista sobre una base del 40% del valor </w:t>
      </w:r>
      <w:proofErr w:type="spellStart"/>
      <w:r>
        <w:t>mensualizado</w:t>
      </w:r>
      <w:proofErr w:type="spellEnd"/>
      <w:r>
        <w:t xml:space="preserve"> del contrato </w:t>
      </w:r>
      <w:r w:rsidRPr="00A87B30">
        <w:rPr>
          <w:b/>
          <w:sz w:val="32"/>
          <w:szCs w:val="32"/>
        </w:rPr>
        <w:t>a pesar de que el Ministerio de Protección Social señala en Concepto de Noviembre 26 de 2013 que el tema no está reglamentado</w:t>
      </w:r>
      <w:proofErr w:type="gramStart"/>
      <w:r w:rsidRPr="00A87B30">
        <w:rPr>
          <w:b/>
          <w:sz w:val="32"/>
          <w:szCs w:val="32"/>
        </w:rPr>
        <w:t>?.</w:t>
      </w:r>
      <w:proofErr w:type="gramEnd"/>
      <w:r w:rsidRPr="00A87B30">
        <w:rPr>
          <w:b/>
          <w:sz w:val="32"/>
          <w:szCs w:val="32"/>
        </w:rPr>
        <w:t xml:space="preserve"> </w:t>
      </w:r>
    </w:p>
    <w:p w:rsidR="006F773D" w:rsidRPr="00A87B30" w:rsidRDefault="006F773D" w:rsidP="00D86D1B">
      <w:pPr>
        <w:rPr>
          <w:b/>
          <w:sz w:val="32"/>
          <w:szCs w:val="32"/>
        </w:rPr>
      </w:pPr>
    </w:p>
    <w:p w:rsidR="006F773D" w:rsidRPr="003F493D" w:rsidRDefault="006F773D" w:rsidP="00D86D1B">
      <w:pPr>
        <w:rPr>
          <w:b/>
        </w:rPr>
      </w:pPr>
      <w:r w:rsidRPr="003F493D">
        <w:rPr>
          <w:b/>
        </w:rPr>
        <w:t xml:space="preserve">SEGUNDA: </w:t>
      </w:r>
    </w:p>
    <w:p w:rsidR="0093195A" w:rsidRDefault="0093195A" w:rsidP="00D86D1B"/>
    <w:p w:rsidR="006F773D" w:rsidRPr="00F25391" w:rsidRDefault="00F25391" w:rsidP="00D86D1B">
      <w:pPr>
        <w:rPr>
          <w:b/>
        </w:rPr>
      </w:pPr>
      <w:r w:rsidRPr="00A87B30">
        <w:rPr>
          <w:b/>
        </w:rPr>
        <w:t>2.1</w:t>
      </w:r>
      <w:r>
        <w:t xml:space="preserve"> </w:t>
      </w:r>
      <w:r w:rsidR="0093195A">
        <w:t>¿ En el entendido que el artículo 3º del Decreto 1070 de 2013 (modificado por el artículo 9º del decreto 3032 de diciembre 27 de 2013) sólo menciona los artículos 26 de la ley 1393 de 2010, 108 del Estatuto Tributario (Adicionado por el artículo 27 de la ley 1393 de 2010) y el 18 de la ley 1122 de 2007, y teniendo en cuenta que el Ministerio de Protección Social en respuesta de fecha noviembre 26 de 2013 expresa que dichos artículos no están reglam</w:t>
      </w:r>
      <w:r w:rsidR="003F493D">
        <w:t>entados,</w:t>
      </w:r>
      <w:r w:rsidR="00852A6B">
        <w:t xml:space="preserve"> </w:t>
      </w:r>
      <w:r w:rsidR="00852A6B" w:rsidRPr="00F25391">
        <w:rPr>
          <w:b/>
        </w:rPr>
        <w:t xml:space="preserve">se pregunta si en concepto de esa Dirección dicha mención sí constituye una reglamentación y si en consecuencia </w:t>
      </w:r>
      <w:r w:rsidR="003F493D" w:rsidRPr="00F25391">
        <w:rPr>
          <w:b/>
        </w:rPr>
        <w:t xml:space="preserve"> continúan</w:t>
      </w:r>
      <w:r w:rsidR="0093195A" w:rsidRPr="00F25391">
        <w:rPr>
          <w:b/>
        </w:rPr>
        <w:t xml:space="preserve"> vigentes los conceptos y oficios emitidos por esa Dirección sobre la aplicabilidad del artículo 3º de</w:t>
      </w:r>
      <w:r w:rsidR="00A87B30">
        <w:rPr>
          <w:b/>
        </w:rPr>
        <w:t>l precitado decreto 1070 de 2013</w:t>
      </w:r>
      <w:r w:rsidR="003F493D" w:rsidRPr="00F25391">
        <w:rPr>
          <w:b/>
        </w:rPr>
        <w:t xml:space="preserve">, en particular el Concepto No. 72934 de Noviembre 13 de 2013, en el cual la Subdirección de Gestión Normativa y Doctrina señala que sólo en los contratos de duración superior </w:t>
      </w:r>
      <w:r w:rsidR="00A87B30">
        <w:rPr>
          <w:b/>
        </w:rPr>
        <w:t>a tres meses se debe verificar el</w:t>
      </w:r>
      <w:r w:rsidR="003F493D" w:rsidRPr="00F25391">
        <w:rPr>
          <w:b/>
        </w:rPr>
        <w:t xml:space="preserve"> pago de los aportes al Sistema General de Seguridad Social?. </w:t>
      </w:r>
      <w:r w:rsidR="006F773D" w:rsidRPr="00F25391">
        <w:rPr>
          <w:b/>
        </w:rPr>
        <w:t xml:space="preserve"> </w:t>
      </w:r>
    </w:p>
    <w:p w:rsidR="006F773D" w:rsidRDefault="006F773D" w:rsidP="00D86D1B"/>
    <w:p w:rsidR="003F493D" w:rsidRDefault="00F25391" w:rsidP="00D86D1B">
      <w:r w:rsidRPr="005E64F9">
        <w:rPr>
          <w:b/>
        </w:rPr>
        <w:t>2.2</w:t>
      </w:r>
      <w:r>
        <w:t xml:space="preserve"> </w:t>
      </w:r>
      <w:r w:rsidR="00995C51">
        <w:t>¿</w:t>
      </w:r>
      <w:r w:rsidR="003F493D">
        <w:t>Continúa igualmente vigente el Oficio No. 074235 de Noviembre</w:t>
      </w:r>
      <w:r w:rsidR="00995C51">
        <w:t xml:space="preserve"> 20 de 2013, suscrito </w:t>
      </w:r>
      <w:r w:rsidR="003F493D">
        <w:t xml:space="preserve"> por la Subdirectora de Gestión Normativa y Doctrina en el cual a pesar de referirse a lo dispuesto en el artículo 3º del Decreto 1070 de 2013 y al artículo 23 del decreto 1703 de 2002</w:t>
      </w:r>
      <w:r w:rsidR="00852A6B">
        <w:t xml:space="preserve">, </w:t>
      </w:r>
      <w:r w:rsidR="00995C51">
        <w:t xml:space="preserve">pareciera que la parte final del oficio en cuanto a qué el tema de la afiliación y base de cotización no es competencia de la esa entidad, va en contradicción con lo expuesto en todo el texto del concepto?. </w:t>
      </w:r>
    </w:p>
    <w:p w:rsidR="00995C51" w:rsidRDefault="00995C51" w:rsidP="00D86D1B"/>
    <w:p w:rsidR="00995C51" w:rsidRDefault="00F25391" w:rsidP="00D86D1B">
      <w:r w:rsidRPr="005E64F9">
        <w:rPr>
          <w:b/>
        </w:rPr>
        <w:lastRenderedPageBreak/>
        <w:t>2.3</w:t>
      </w:r>
      <w:r>
        <w:t xml:space="preserve"> </w:t>
      </w:r>
      <w:r w:rsidR="00995C51">
        <w:t>¿ Ha perdido vigencia el concepto No. 72934 de Noviembre 13 de 2013,  con la expedición del concepto No. 82702  de diciembre 26 de 2013, en el cual se cita la Circular 001 de diciem</w:t>
      </w:r>
      <w:r w:rsidR="00643036">
        <w:t>bre 6 de 2004, oficio en el que</w:t>
      </w:r>
      <w:r w:rsidR="00995C51">
        <w:t xml:space="preserve"> se insiste en que el Decreto 1070 de 2013 reglamentó los artículos 26 y 27 de la ley 1393 de 2010 y en </w:t>
      </w:r>
      <w:r w:rsidR="00643036">
        <w:t xml:space="preserve">el </w:t>
      </w:r>
      <w:r w:rsidR="00995C51">
        <w:t>cual ya no se expresa que sólo en los contratos de prestación de servicios de duración superior a 3 meses debe exigirse la demostrac</w:t>
      </w:r>
      <w:r w:rsidR="005E64F9">
        <w:t xml:space="preserve">ión del pago de aportes, como </w:t>
      </w:r>
      <w:r w:rsidR="005E64F9" w:rsidRPr="005E64F9">
        <w:rPr>
          <w:b/>
          <w:sz w:val="28"/>
          <w:szCs w:val="28"/>
        </w:rPr>
        <w:t>sí</w:t>
      </w:r>
      <w:r w:rsidR="00995C51">
        <w:t xml:space="preserve"> lo expresa el concepto 72934 de noviembre 13 de 2013?. </w:t>
      </w:r>
    </w:p>
    <w:p w:rsidR="008A7600" w:rsidRDefault="008A7600" w:rsidP="00D86D1B"/>
    <w:p w:rsidR="008A7600" w:rsidRPr="004C36E5" w:rsidRDefault="008A7600" w:rsidP="00D86D1B">
      <w:pPr>
        <w:rPr>
          <w:b/>
        </w:rPr>
      </w:pPr>
      <w:r w:rsidRPr="004C36E5">
        <w:rPr>
          <w:b/>
        </w:rPr>
        <w:t xml:space="preserve">TERCERA: </w:t>
      </w:r>
    </w:p>
    <w:p w:rsidR="008A7600" w:rsidRDefault="008A7600" w:rsidP="00D86D1B"/>
    <w:p w:rsidR="008A7600" w:rsidRDefault="008A7600" w:rsidP="00D86D1B">
      <w:r>
        <w:t xml:space="preserve">¿Considera ese Dirección </w:t>
      </w:r>
      <w:r w:rsidR="006A2062">
        <w:t xml:space="preserve">Jurídica </w:t>
      </w:r>
      <w:r>
        <w:t>que los decretos 806 de 1998, 1406 de 1999 y el artículo 23 del decreto 1703 de 2002 se encuentran vigentes, a pesar de que la Sala de Consulta y Servicio Civil del Consejo de Estado exprese en el concepto 1832 de 2007 que las normas expedidas antes de la vigencia de la ley 1122 de 2007 en cuanto a la base para</w:t>
      </w:r>
      <w:r w:rsidR="006A2062">
        <w:t xml:space="preserve"> liquidación de </w:t>
      </w:r>
      <w:r>
        <w:t xml:space="preserve"> aportes de los independientes, han perdido vigencia</w:t>
      </w:r>
      <w:proofErr w:type="gramStart"/>
      <w:r>
        <w:t>?.</w:t>
      </w:r>
      <w:proofErr w:type="gramEnd"/>
      <w:r>
        <w:t xml:space="preserve"> </w:t>
      </w:r>
    </w:p>
    <w:p w:rsidR="008A7600" w:rsidRDefault="008A7600" w:rsidP="00D86D1B"/>
    <w:p w:rsidR="008A7600" w:rsidRPr="004C36E5" w:rsidRDefault="008A7600" w:rsidP="00D86D1B">
      <w:pPr>
        <w:rPr>
          <w:b/>
        </w:rPr>
      </w:pPr>
      <w:r w:rsidRPr="004C36E5">
        <w:rPr>
          <w:b/>
        </w:rPr>
        <w:t xml:space="preserve">CUARTA: </w:t>
      </w:r>
    </w:p>
    <w:p w:rsidR="008A7600" w:rsidRDefault="008A7600" w:rsidP="00D86D1B"/>
    <w:p w:rsidR="006D4B83" w:rsidRDefault="006D4B83" w:rsidP="00D86D1B">
      <w:r>
        <w:t>El Ministerio de Trabajo en el Concepto No. 20042 de Febrero 7 de 2014 señala que en el caso de arrendamiento de bienes no es exigible el pago de aportes a la seguridad social por tratarse de un rentista de capital.</w:t>
      </w:r>
    </w:p>
    <w:p w:rsidR="003D7406" w:rsidRDefault="003D7406" w:rsidP="00D86D1B"/>
    <w:p w:rsidR="003D7406" w:rsidRDefault="003D7406" w:rsidP="00D86D1B">
      <w:r>
        <w:t>Por su parte el Ministerio de Salud y Protección Social en concepto No. 29059 de Diciembre 30 de 2011, señala que se debe exigir</w:t>
      </w:r>
      <w:r w:rsidR="0029402B">
        <w:t>se</w:t>
      </w:r>
      <w:r>
        <w:t xml:space="preserve"> el pago de parafiscales en los contratos de arrendamiento. </w:t>
      </w:r>
    </w:p>
    <w:p w:rsidR="003D7406" w:rsidRDefault="003D7406" w:rsidP="00D86D1B"/>
    <w:p w:rsidR="003D7406" w:rsidRDefault="003D7406" w:rsidP="00D86D1B">
      <w:r>
        <w:t>De otra parte, en el Oficio No. 070392 de No</w:t>
      </w:r>
      <w:r w:rsidR="0099443D">
        <w:t>viembre 1º de 2013</w:t>
      </w:r>
      <w:r>
        <w:t xml:space="preserve"> la Subdirección de Gestión Normativa y Doctrina </w:t>
      </w:r>
      <w:r w:rsidR="0099443D">
        <w:t xml:space="preserve"> en respuesta a si en el caso </w:t>
      </w:r>
      <w:r>
        <w:t xml:space="preserve"> de arrendamientos debía exigirse el pago de los parafiscales,  dicha Subdirección no se refirió a es</w:t>
      </w:r>
      <w:r w:rsidR="0099443D">
        <w:t xml:space="preserve">ta consulta, refiriéndose sólo al </w:t>
      </w:r>
      <w:r>
        <w:t xml:space="preserve"> caso de compras</w:t>
      </w:r>
      <w:r w:rsidR="0099443D">
        <w:t xml:space="preserve">, en las cuales </w:t>
      </w:r>
      <w:r>
        <w:t xml:space="preserve"> no era exigible la demostración del pago de aportes a seguridad social. </w:t>
      </w:r>
    </w:p>
    <w:p w:rsidR="003D7406" w:rsidRDefault="003D7406" w:rsidP="00D86D1B"/>
    <w:p w:rsidR="003D7406" w:rsidRPr="003D7406" w:rsidRDefault="003D7406" w:rsidP="00D86D1B">
      <w:pPr>
        <w:rPr>
          <w:b/>
        </w:rPr>
      </w:pPr>
      <w:r w:rsidRPr="003D7406">
        <w:rPr>
          <w:b/>
        </w:rPr>
        <w:t xml:space="preserve">PREGUNTA: </w:t>
      </w:r>
    </w:p>
    <w:p w:rsidR="003D7406" w:rsidRDefault="003D7406" w:rsidP="00D86D1B"/>
    <w:p w:rsidR="003D7406" w:rsidRDefault="003D7406" w:rsidP="00D86D1B">
      <w:r>
        <w:t xml:space="preserve">Cuál es el concepto de ese despacho frente al pago de arrendamiento de  bienes muebles e inmuebles. Se debe exigir </w:t>
      </w:r>
      <w:r w:rsidRPr="004D1750">
        <w:rPr>
          <w:b/>
          <w:sz w:val="32"/>
          <w:szCs w:val="32"/>
        </w:rPr>
        <w:t>sí o no</w:t>
      </w:r>
      <w:r>
        <w:t xml:space="preserve"> el pago de aportes a la seguridad social sobre una base del 40%, o cuál es la base en estos casos</w:t>
      </w:r>
      <w:proofErr w:type="gramStart"/>
      <w:r>
        <w:t>?.</w:t>
      </w:r>
      <w:proofErr w:type="gramEnd"/>
      <w:r>
        <w:t xml:space="preserve"> </w:t>
      </w:r>
    </w:p>
    <w:p w:rsidR="006A15CC" w:rsidRDefault="006A15CC" w:rsidP="00D86D1B"/>
    <w:p w:rsidR="006A15CC" w:rsidRPr="00481869" w:rsidRDefault="006A15CC" w:rsidP="00D86D1B">
      <w:pPr>
        <w:rPr>
          <w:b/>
        </w:rPr>
      </w:pPr>
      <w:r w:rsidRPr="00481869">
        <w:rPr>
          <w:b/>
        </w:rPr>
        <w:lastRenderedPageBreak/>
        <w:t xml:space="preserve">QUINTA: </w:t>
      </w:r>
    </w:p>
    <w:p w:rsidR="006A15CC" w:rsidRDefault="006A15CC" w:rsidP="00D86D1B"/>
    <w:p w:rsidR="006A15CC" w:rsidRDefault="00A34306" w:rsidP="00D86D1B">
      <w:r>
        <w:t>En la</w:t>
      </w:r>
      <w:r w:rsidR="00481869">
        <w:t xml:space="preserve"> parte final del Oficio No. 074</w:t>
      </w:r>
      <w:r>
        <w:t xml:space="preserve">235 de Noviembre 20 de 2013, La Subdirección de Gestión Normativa y Doctrina expresa lo siguiente: </w:t>
      </w:r>
    </w:p>
    <w:p w:rsidR="00A34306" w:rsidRDefault="00A34306" w:rsidP="00D86D1B"/>
    <w:p w:rsidR="00A34306" w:rsidRPr="00A96C10" w:rsidRDefault="00A34306" w:rsidP="00D86D1B">
      <w:pPr>
        <w:ind w:left="567" w:right="567"/>
        <w:rPr>
          <w:rFonts w:eastAsia="Times New Roman"/>
          <w:b/>
          <w:szCs w:val="24"/>
          <w:lang w:eastAsia="es-CO"/>
        </w:rPr>
      </w:pPr>
      <w:r w:rsidRPr="00A34306">
        <w:rPr>
          <w:rFonts w:eastAsia="Times New Roman"/>
          <w:b/>
          <w:szCs w:val="24"/>
          <w:lang w:eastAsia="es-CO"/>
        </w:rPr>
        <w:t>“Lo relacionado puntualmente con la obligación de aportar al Sistema General de Seguridad Social y con el ingreso base de cotización, escapa al ámbito de competencia de esta entidad, razón por la cual recomendamos dirigir las preguntas a la U.A.E. de Gestión Pensional y Contribuciones Parafiscales de la Protección Social - UGPP-.”</w:t>
      </w:r>
    </w:p>
    <w:p w:rsidR="003D7406" w:rsidRDefault="003D7406" w:rsidP="00D86D1B">
      <w:pPr>
        <w:rPr>
          <w:rFonts w:eastAsia="Times New Roman"/>
          <w:szCs w:val="24"/>
          <w:lang w:eastAsia="es-CO"/>
        </w:rPr>
      </w:pPr>
    </w:p>
    <w:p w:rsidR="00F25391" w:rsidRDefault="00A34306" w:rsidP="00D86D1B">
      <w:pPr>
        <w:rPr>
          <w:rFonts w:eastAsia="Times New Roman"/>
          <w:szCs w:val="24"/>
          <w:lang w:eastAsia="es-CO"/>
        </w:rPr>
      </w:pPr>
      <w:r>
        <w:rPr>
          <w:rFonts w:eastAsia="Times New Roman"/>
          <w:szCs w:val="24"/>
          <w:lang w:eastAsia="es-CO"/>
        </w:rPr>
        <w:t xml:space="preserve">El aparte anterior, da a entender que esa </w:t>
      </w:r>
      <w:r w:rsidR="00890DCD">
        <w:rPr>
          <w:rFonts w:eastAsia="Times New Roman"/>
          <w:szCs w:val="24"/>
          <w:lang w:eastAsia="es-CO"/>
        </w:rPr>
        <w:t>Subd</w:t>
      </w:r>
      <w:r>
        <w:rPr>
          <w:rFonts w:eastAsia="Times New Roman"/>
          <w:szCs w:val="24"/>
          <w:lang w:eastAsia="es-CO"/>
        </w:rPr>
        <w:t>irección se rel</w:t>
      </w:r>
      <w:r w:rsidR="00CB7600">
        <w:rPr>
          <w:rFonts w:eastAsia="Times New Roman"/>
          <w:szCs w:val="24"/>
          <w:lang w:eastAsia="es-CO"/>
        </w:rPr>
        <w:t>eva la competencia para señalar</w:t>
      </w:r>
      <w:r>
        <w:rPr>
          <w:rFonts w:eastAsia="Times New Roman"/>
          <w:szCs w:val="24"/>
          <w:lang w:eastAsia="es-CO"/>
        </w:rPr>
        <w:t xml:space="preserve"> cuál es la base sobre la cual los trabajadores independientes deben cotizar al sistema general de segu</w:t>
      </w:r>
      <w:r w:rsidR="00CB7600">
        <w:rPr>
          <w:rFonts w:eastAsia="Times New Roman"/>
          <w:szCs w:val="24"/>
          <w:lang w:eastAsia="es-CO"/>
        </w:rPr>
        <w:t>ridad social, pero sin embargo en el oficio No. 079831 de diciembre 12 de 2013, la misa Subdirección de Gestión Normativa y Doctrina, ratifica la posición tomada en anteriores conceptos en cuanto a que en todo</w:t>
      </w:r>
      <w:r w:rsidR="00F25391">
        <w:rPr>
          <w:rFonts w:eastAsia="Times New Roman"/>
          <w:szCs w:val="24"/>
          <w:lang w:eastAsia="es-CO"/>
        </w:rPr>
        <w:t>s los pagos incluyendo los efectuados</w:t>
      </w:r>
      <w:r w:rsidR="00CB7600">
        <w:rPr>
          <w:rFonts w:eastAsia="Times New Roman"/>
          <w:szCs w:val="24"/>
          <w:lang w:eastAsia="es-CO"/>
        </w:rPr>
        <w:t xml:space="preserve"> por </w:t>
      </w:r>
      <w:r w:rsidR="00F25391">
        <w:rPr>
          <w:rFonts w:eastAsia="Times New Roman"/>
          <w:szCs w:val="24"/>
          <w:lang w:eastAsia="es-CO"/>
        </w:rPr>
        <w:t xml:space="preserve">concepto de arrendamiento y </w:t>
      </w:r>
      <w:r w:rsidR="00CB7600">
        <w:rPr>
          <w:rFonts w:eastAsia="Times New Roman"/>
          <w:szCs w:val="24"/>
          <w:lang w:eastAsia="es-CO"/>
        </w:rPr>
        <w:t xml:space="preserve"> a quienes ejerzan actividades del artículo 340 del E.T. debe exigírsele el pago de aportes sobre una base del 40%, citando el Concepto No. 1832 de 2007 emitido por la Sala de Consulta y Servicio Civil (Concepto que en respuesta a consulta No. 6 del Oficio No. 013196 de Febrero 21 de 2014, no lo valida bajo el argumento de que </w:t>
      </w:r>
      <w:r w:rsidR="00481869">
        <w:rPr>
          <w:rFonts w:eastAsia="Times New Roman"/>
          <w:szCs w:val="24"/>
          <w:lang w:eastAsia="es-CO"/>
        </w:rPr>
        <w:t xml:space="preserve">no es vinculante para la Dian). </w:t>
      </w:r>
    </w:p>
    <w:p w:rsidR="00F25391" w:rsidRDefault="00F25391" w:rsidP="00D86D1B">
      <w:pPr>
        <w:rPr>
          <w:rFonts w:eastAsia="Times New Roman"/>
          <w:szCs w:val="24"/>
          <w:lang w:eastAsia="es-CO"/>
        </w:rPr>
      </w:pPr>
    </w:p>
    <w:p w:rsidR="00481869" w:rsidRPr="00481869" w:rsidRDefault="00481869" w:rsidP="00D86D1B">
      <w:pPr>
        <w:rPr>
          <w:rFonts w:eastAsia="Times New Roman"/>
          <w:b/>
          <w:szCs w:val="24"/>
          <w:lang w:eastAsia="es-CO"/>
        </w:rPr>
      </w:pPr>
      <w:r w:rsidRPr="00481869">
        <w:rPr>
          <w:rFonts w:eastAsia="Times New Roman"/>
          <w:b/>
          <w:szCs w:val="24"/>
          <w:lang w:eastAsia="es-CO"/>
        </w:rPr>
        <w:t xml:space="preserve">Veamos algunos apartes del Oficio No. 079831 de diciembre 12 de 2013: </w:t>
      </w:r>
    </w:p>
    <w:p w:rsidR="006D4B83" w:rsidRDefault="006D4B83" w:rsidP="00D86D1B"/>
    <w:p w:rsidR="00481869" w:rsidRPr="004D3356" w:rsidRDefault="00481869" w:rsidP="00D86D1B">
      <w:pPr>
        <w:ind w:left="567" w:right="567"/>
        <w:rPr>
          <w:rFonts w:eastAsia="Times New Roman"/>
          <w:szCs w:val="24"/>
          <w:lang w:eastAsia="es-CO"/>
        </w:rPr>
      </w:pPr>
      <w:r>
        <w:rPr>
          <w:rFonts w:eastAsia="Times New Roman"/>
          <w:szCs w:val="24"/>
          <w:lang w:eastAsia="es-CO"/>
        </w:rPr>
        <w:t>“</w:t>
      </w:r>
      <w:r w:rsidRPr="004D3356">
        <w:rPr>
          <w:rFonts w:eastAsia="Times New Roman"/>
          <w:szCs w:val="24"/>
          <w:lang w:eastAsia="es-CO"/>
        </w:rPr>
        <w:t xml:space="preserve">Conforme lo establecido en el artículo 18 de la Ley 1122 de 2007, los independientes contratistas de prestación de servicios cotizarán al Sistema General de Seguridad Social en Salud el porcentaje obligatorio para salud sobre una base de la cotización máxima de un 40% del valor </w:t>
      </w:r>
      <w:proofErr w:type="spellStart"/>
      <w:r w:rsidRPr="004D3356">
        <w:rPr>
          <w:rFonts w:eastAsia="Times New Roman"/>
          <w:szCs w:val="24"/>
          <w:lang w:eastAsia="es-CO"/>
        </w:rPr>
        <w:t>mensualizado</w:t>
      </w:r>
      <w:proofErr w:type="spellEnd"/>
      <w:r w:rsidRPr="004D3356">
        <w:rPr>
          <w:rFonts w:eastAsia="Times New Roman"/>
          <w:szCs w:val="24"/>
          <w:lang w:eastAsia="es-CO"/>
        </w:rPr>
        <w:t xml:space="preserve"> del contrato.</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6D4B83" w:rsidRDefault="00481869" w:rsidP="00D86D1B">
      <w:pPr>
        <w:ind w:left="567" w:right="567"/>
        <w:rPr>
          <w:rFonts w:eastAsia="Times New Roman"/>
          <w:szCs w:val="24"/>
          <w:lang w:eastAsia="es-CO"/>
        </w:rPr>
      </w:pPr>
      <w:r w:rsidRPr="004D3356">
        <w:rPr>
          <w:rFonts w:eastAsia="Times New Roman"/>
          <w:szCs w:val="24"/>
          <w:lang w:eastAsia="es-CO"/>
        </w:rPr>
        <w:t>Sobre la base del 40%, traemos a colación la respuesta dada por la sala de Consulta y Servicio Civil del Consejo de Estado de radicación número 1832 del 26 de julio de 2007, Consejero Ponente Luis Fernando Álvarez Jaramillo, que frente a una consulta presentada por el Ministro de la Protección Social respecto de la interpretación que debe darse a la definición del ingreso base de cotización –IBC- de los trabajadores independientes contratistas estableció lo siguiente</w:t>
      </w:r>
      <w:r>
        <w:rPr>
          <w:rFonts w:eastAsia="Times New Roman"/>
          <w:szCs w:val="24"/>
          <w:lang w:eastAsia="es-CO"/>
        </w:rPr>
        <w:t>:</w:t>
      </w:r>
    </w:p>
    <w:p w:rsidR="00481869" w:rsidRDefault="00481869" w:rsidP="00D86D1B">
      <w:pPr>
        <w:ind w:left="567" w:right="567"/>
        <w:rPr>
          <w:rFonts w:eastAsia="Times New Roman"/>
          <w:szCs w:val="24"/>
          <w:lang w:eastAsia="es-CO"/>
        </w:rPr>
      </w:pPr>
    </w:p>
    <w:p w:rsidR="00481869" w:rsidRDefault="00481869" w:rsidP="00D86D1B">
      <w:pPr>
        <w:ind w:left="567" w:right="567"/>
        <w:rPr>
          <w:rFonts w:eastAsia="Times New Roman"/>
          <w:szCs w:val="24"/>
          <w:lang w:eastAsia="es-CO"/>
        </w:rPr>
      </w:pPr>
      <w:r>
        <w:rPr>
          <w:rFonts w:eastAsia="Times New Roman"/>
          <w:szCs w:val="24"/>
          <w:lang w:eastAsia="es-CO"/>
        </w:rPr>
        <w:lastRenderedPageBreak/>
        <w:t>(….)</w:t>
      </w:r>
    </w:p>
    <w:p w:rsidR="00481869" w:rsidRDefault="00481869" w:rsidP="00D86D1B">
      <w:pPr>
        <w:ind w:left="567" w:right="567"/>
        <w:rPr>
          <w:rFonts w:eastAsia="Times New Roman"/>
          <w:szCs w:val="24"/>
          <w:lang w:eastAsia="es-CO"/>
        </w:rPr>
      </w:pP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De manera particular y respecto a los trabajadores por cuenta propia, en el Oficio No. 017857 del 26 de marzo de 2013, se señala:</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w:t>
      </w:r>
    </w:p>
    <w:p w:rsidR="00481869" w:rsidRDefault="00481869" w:rsidP="00D86D1B">
      <w:pPr>
        <w:ind w:left="567" w:right="567"/>
        <w:rPr>
          <w:rFonts w:eastAsia="Times New Roman"/>
          <w:szCs w:val="24"/>
          <w:lang w:eastAsia="es-CO"/>
        </w:rPr>
      </w:pP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2) Trabajador por cuenta propia</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xml:space="preserve">Se entiende como trabajador por cuenta propia, toda persona natural residente en el país, cuyos ingresos provienen en un ochenta por ciento (80%) o más de la realización de las actividades económicas señaladas en el </w:t>
      </w:r>
      <w:hyperlink r:id="rId8" w:tooltip="Estatuto Tributario CETA" w:history="1">
        <w:r w:rsidRPr="004D3356">
          <w:rPr>
            <w:rFonts w:eastAsia="Times New Roman"/>
            <w:szCs w:val="24"/>
            <w:u w:val="single"/>
            <w:lang w:eastAsia="es-CO"/>
          </w:rPr>
          <w:t>artículo 340</w:t>
        </w:r>
      </w:hyperlink>
      <w:r w:rsidRPr="004D3356">
        <w:rPr>
          <w:rFonts w:eastAsia="Times New Roman"/>
          <w:szCs w:val="24"/>
          <w:lang w:eastAsia="es-CO"/>
        </w:rPr>
        <w:t xml:space="preserve"> del Estatuto Tributario y cuya Renta Gravable Alternativa sea inferior a veintisiete mil (27.000) UVT, a saber:</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Actividades deportivas y otras actividades de esparcimiento</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Agropecuario, silvicultura y pesca</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Comercio al por mayor</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Comercio al por menor</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Comercio de vehículos automotores, accesorios y productos conexos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Construcción</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Electricidad, gas y vapor</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Fabricación de productos minerales y otros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Fabricación de sustancias químicas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Industria de la madera, corcho y papel</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Manufactura alimentos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Manufactura textiles, prendas de vestir y cuero</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Minería</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Servicio de transporte, almacenamiento y comunicaciones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Servicios de hoteles, restaurantes y similares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Servicios financieros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481869" w:rsidRPr="0018665B" w:rsidRDefault="00481869" w:rsidP="00D86D1B">
      <w:pPr>
        <w:ind w:left="567" w:right="567"/>
        <w:rPr>
          <w:rFonts w:eastAsia="Times New Roman"/>
          <w:b/>
          <w:sz w:val="32"/>
          <w:szCs w:val="32"/>
          <w:u w:val="single"/>
          <w:lang w:eastAsia="es-CO"/>
        </w:rPr>
      </w:pPr>
      <w:r w:rsidRPr="00F25391">
        <w:rPr>
          <w:rFonts w:eastAsia="Times New Roman"/>
          <w:szCs w:val="24"/>
          <w:lang w:eastAsia="es-CO"/>
        </w:rPr>
        <w:t xml:space="preserve">De lo anteriormente expuesto, y a fin de resolver la pregunta, </w:t>
      </w:r>
      <w:r w:rsidRPr="00F25391">
        <w:rPr>
          <w:rFonts w:eastAsia="Times New Roman"/>
          <w:b/>
          <w:szCs w:val="24"/>
          <w:u w:val="single"/>
          <w:lang w:eastAsia="es-CO"/>
        </w:rPr>
        <w:t xml:space="preserve">se destaca que estos pagos no provienen de una relación laboral o legal y reglamentaria, </w:t>
      </w:r>
      <w:r w:rsidRPr="0018665B">
        <w:rPr>
          <w:rFonts w:eastAsia="Times New Roman"/>
          <w:b/>
          <w:sz w:val="32"/>
          <w:szCs w:val="32"/>
          <w:u w:val="single"/>
          <w:lang w:eastAsia="es-CO"/>
        </w:rPr>
        <w:t xml:space="preserve">razón por la cual implican para el contratante el cumplimiento de lo señalado en el parágrafo 2° del </w:t>
      </w:r>
      <w:hyperlink r:id="rId9" w:tooltip="Estatuto Tributario CETA" w:history="1">
        <w:r w:rsidRPr="0018665B">
          <w:rPr>
            <w:rFonts w:eastAsia="Times New Roman"/>
            <w:b/>
            <w:sz w:val="32"/>
            <w:szCs w:val="32"/>
            <w:u w:val="single"/>
            <w:lang w:eastAsia="es-CO"/>
          </w:rPr>
          <w:t>artículo 108</w:t>
        </w:r>
      </w:hyperlink>
      <w:r w:rsidRPr="0018665B">
        <w:rPr>
          <w:rFonts w:eastAsia="Times New Roman"/>
          <w:b/>
          <w:sz w:val="32"/>
          <w:szCs w:val="32"/>
          <w:u w:val="single"/>
          <w:lang w:eastAsia="es-CO"/>
        </w:rPr>
        <w:t xml:space="preserve"> y el artículo 3° del Decreto 1070 de 2013, </w:t>
      </w:r>
      <w:r w:rsidRPr="0018665B">
        <w:rPr>
          <w:rFonts w:eastAsia="Times New Roman"/>
          <w:b/>
          <w:sz w:val="32"/>
          <w:szCs w:val="32"/>
          <w:u w:val="single"/>
          <w:lang w:eastAsia="es-CO"/>
        </w:rPr>
        <w:lastRenderedPageBreak/>
        <w:t>para la procedencia de la deducción en el impuesto de renta y complementarios de los pagos hechos a estas personas.</w:t>
      </w:r>
    </w:p>
    <w:p w:rsidR="00481869" w:rsidRPr="00F25391" w:rsidRDefault="00481869" w:rsidP="00D86D1B">
      <w:pPr>
        <w:ind w:left="567" w:right="567"/>
        <w:rPr>
          <w:rFonts w:eastAsia="Times New Roman"/>
          <w:b/>
          <w:szCs w:val="24"/>
          <w:u w:val="single"/>
          <w:lang w:eastAsia="es-CO"/>
        </w:rPr>
      </w:pPr>
      <w:r w:rsidRPr="00F25391">
        <w:rPr>
          <w:rFonts w:eastAsia="Times New Roman"/>
          <w:b/>
          <w:szCs w:val="24"/>
          <w:u w:val="single"/>
          <w:lang w:eastAsia="es-CO"/>
        </w:rPr>
        <w:t> </w:t>
      </w:r>
    </w:p>
    <w:p w:rsidR="00481869" w:rsidRPr="0018665B" w:rsidRDefault="00481869" w:rsidP="00D86D1B">
      <w:pPr>
        <w:ind w:left="567" w:right="567"/>
        <w:rPr>
          <w:rFonts w:eastAsia="Times New Roman"/>
          <w:b/>
          <w:sz w:val="32"/>
          <w:szCs w:val="32"/>
          <w:lang w:eastAsia="es-CO"/>
        </w:rPr>
      </w:pPr>
      <w:r w:rsidRPr="0018665B">
        <w:rPr>
          <w:rFonts w:eastAsia="Times New Roman"/>
          <w:b/>
          <w:sz w:val="32"/>
          <w:szCs w:val="32"/>
          <w:lang w:eastAsia="es-CO"/>
        </w:rPr>
        <w:t>Así las cosas, el contratante debe verificar de estas personas, la afiliación y el pago de las cotizaciones y aportes a la protección social, en los términos del artículo 18 de la Ley 1122 de 2007 y el Decreto 3085 de 2007.</w:t>
      </w:r>
    </w:p>
    <w:p w:rsidR="00481869" w:rsidRPr="0018665B" w:rsidRDefault="00481869" w:rsidP="00D86D1B">
      <w:pPr>
        <w:ind w:left="567" w:right="567"/>
        <w:rPr>
          <w:rFonts w:eastAsia="Times New Roman"/>
          <w:sz w:val="32"/>
          <w:szCs w:val="32"/>
          <w:lang w:eastAsia="es-CO"/>
        </w:rPr>
      </w:pPr>
      <w:r w:rsidRPr="0018665B">
        <w:rPr>
          <w:rFonts w:eastAsia="Times New Roman"/>
          <w:sz w:val="32"/>
          <w:szCs w:val="32"/>
          <w:lang w:eastAsia="es-CO"/>
        </w:rPr>
        <w:t> </w:t>
      </w:r>
    </w:p>
    <w:p w:rsidR="00481869" w:rsidRDefault="00481869" w:rsidP="00D86D1B">
      <w:pPr>
        <w:ind w:left="567" w:right="567"/>
        <w:rPr>
          <w:rFonts w:eastAsia="Times New Roman"/>
          <w:szCs w:val="24"/>
          <w:lang w:eastAsia="es-CO"/>
        </w:rPr>
      </w:pPr>
      <w:r>
        <w:rPr>
          <w:rFonts w:eastAsia="Times New Roman"/>
          <w:szCs w:val="24"/>
          <w:lang w:eastAsia="es-CO"/>
        </w:rPr>
        <w:t>(….)</w:t>
      </w:r>
    </w:p>
    <w:p w:rsidR="00481869" w:rsidRDefault="00481869" w:rsidP="00D86D1B">
      <w:pPr>
        <w:ind w:left="567" w:right="567"/>
        <w:rPr>
          <w:rFonts w:eastAsia="Times New Roman"/>
          <w:szCs w:val="24"/>
          <w:lang w:eastAsia="es-CO"/>
        </w:rPr>
      </w:pPr>
    </w:p>
    <w:p w:rsidR="00481869" w:rsidRPr="004D3356" w:rsidRDefault="00481869" w:rsidP="00D86D1B">
      <w:pPr>
        <w:ind w:left="567" w:right="567"/>
        <w:rPr>
          <w:rFonts w:eastAsia="Times New Roman"/>
          <w:szCs w:val="24"/>
          <w:lang w:eastAsia="es-CO"/>
        </w:rPr>
      </w:pPr>
      <w:r w:rsidRPr="004D3356">
        <w:rPr>
          <w:rFonts w:eastAsia="Times New Roman"/>
          <w:b/>
          <w:szCs w:val="24"/>
          <w:lang w:eastAsia="es-CO"/>
        </w:rPr>
        <w:t>Pregunta dos:</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481869" w:rsidRPr="004D3356" w:rsidRDefault="00481869" w:rsidP="00D86D1B">
      <w:pPr>
        <w:ind w:left="567" w:right="567"/>
        <w:rPr>
          <w:rFonts w:eastAsia="Times New Roman"/>
          <w:szCs w:val="24"/>
          <w:lang w:eastAsia="es-CO"/>
        </w:rPr>
      </w:pPr>
      <w:r w:rsidRPr="004D3356">
        <w:rPr>
          <w:rFonts w:eastAsia="Times New Roman"/>
          <w:i/>
          <w:szCs w:val="24"/>
          <w:lang w:eastAsia="es-CO"/>
        </w:rPr>
        <w:t>2. La persona natural que alquila bienes muebles (alquiler de montacargas) y que para nosotros son costos y deducciones se les debe exigir La planilla de Seguridad Social sobre la base del 40% del pago o sobre la utilidad</w:t>
      </w:r>
      <w:proofErr w:type="gramStart"/>
      <w:r w:rsidRPr="004D3356">
        <w:rPr>
          <w:rFonts w:eastAsia="Times New Roman"/>
          <w:i/>
          <w:szCs w:val="24"/>
          <w:lang w:eastAsia="es-CO"/>
        </w:rPr>
        <w:t>?</w:t>
      </w:r>
      <w:proofErr w:type="gramEnd"/>
      <w:r w:rsidRPr="004D3356">
        <w:rPr>
          <w:rFonts w:eastAsia="Times New Roman"/>
          <w:i/>
          <w:szCs w:val="24"/>
          <w:lang w:eastAsia="es-CO"/>
        </w:rPr>
        <w:t xml:space="preserve">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 xml:space="preserve">] </w:t>
      </w:r>
      <w:r w:rsidRPr="004D3356">
        <w:rPr>
          <w:rFonts w:eastAsia="Times New Roman"/>
          <w:i/>
          <w:szCs w:val="24"/>
          <w:lang w:eastAsia="es-CO"/>
        </w:rPr>
        <w:t xml:space="preserve">o no se les debe exigir la planilla de Seguridad Social? </w:t>
      </w:r>
      <w:r w:rsidRPr="004D3356">
        <w:rPr>
          <w:rFonts w:eastAsia="Times New Roman"/>
          <w:szCs w:val="24"/>
          <w:lang w:eastAsia="es-CO"/>
        </w:rPr>
        <w:t>[</w:t>
      </w:r>
      <w:proofErr w:type="gramStart"/>
      <w:r w:rsidRPr="004D3356">
        <w:rPr>
          <w:rFonts w:eastAsia="Times New Roman"/>
          <w:szCs w:val="24"/>
          <w:lang w:eastAsia="es-CO"/>
        </w:rPr>
        <w:t>sic</w:t>
      </w:r>
      <w:proofErr w:type="gramEnd"/>
      <w:r w:rsidRPr="004D3356">
        <w:rPr>
          <w:rFonts w:eastAsia="Times New Roman"/>
          <w:szCs w:val="24"/>
          <w:lang w:eastAsia="es-CO"/>
        </w:rPr>
        <w:t>]</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481869" w:rsidRPr="004D3356" w:rsidRDefault="00481869" w:rsidP="00D86D1B">
      <w:pPr>
        <w:ind w:left="567" w:right="567"/>
        <w:rPr>
          <w:rFonts w:eastAsia="Times New Roman"/>
          <w:szCs w:val="24"/>
          <w:lang w:eastAsia="es-CO"/>
        </w:rPr>
      </w:pPr>
      <w:r w:rsidRPr="004D3356">
        <w:rPr>
          <w:rFonts w:eastAsia="Times New Roman"/>
          <w:b/>
          <w:szCs w:val="24"/>
          <w:lang w:eastAsia="es-CO"/>
        </w:rPr>
        <w:t>Respuesta:</w:t>
      </w:r>
    </w:p>
    <w:p w:rsidR="00481869" w:rsidRPr="004D3356" w:rsidRDefault="00481869" w:rsidP="00D86D1B">
      <w:pPr>
        <w:ind w:left="567" w:right="567"/>
        <w:rPr>
          <w:rFonts w:eastAsia="Times New Roman"/>
          <w:szCs w:val="24"/>
          <w:lang w:eastAsia="es-CO"/>
        </w:rPr>
      </w:pPr>
      <w:r w:rsidRPr="004D3356">
        <w:rPr>
          <w:rFonts w:eastAsia="Times New Roman"/>
          <w:szCs w:val="24"/>
          <w:lang w:eastAsia="es-CO"/>
        </w:rPr>
        <w:t> </w:t>
      </w:r>
    </w:p>
    <w:p w:rsidR="00481869" w:rsidRPr="00F25391" w:rsidRDefault="00481869" w:rsidP="00D86D1B">
      <w:pPr>
        <w:ind w:left="567" w:right="567"/>
        <w:rPr>
          <w:rFonts w:eastAsia="Times New Roman"/>
          <w:b/>
          <w:szCs w:val="24"/>
          <w:lang w:eastAsia="es-CO"/>
        </w:rPr>
      </w:pPr>
      <w:r w:rsidRPr="00F25391">
        <w:rPr>
          <w:rFonts w:eastAsia="Times New Roman"/>
          <w:b/>
          <w:szCs w:val="24"/>
          <w:lang w:eastAsia="es-CO"/>
        </w:rPr>
        <w:t xml:space="preserve">En la respuesta a la pregunta 1 se concluyó que los pagos hechos a personas naturales que no son producto de una relación laboral o legal y reglamentaria, </w:t>
      </w:r>
      <w:r w:rsidRPr="0018665B">
        <w:rPr>
          <w:rFonts w:eastAsia="Times New Roman"/>
          <w:b/>
          <w:sz w:val="32"/>
          <w:szCs w:val="32"/>
          <w:lang w:eastAsia="es-CO"/>
        </w:rPr>
        <w:t xml:space="preserve">implican para el contratante el cumplimiento de lo señalado en el parágrafo 2° del </w:t>
      </w:r>
      <w:hyperlink r:id="rId10" w:tooltip="Estatuto Tributario CETA" w:history="1">
        <w:r w:rsidRPr="0018665B">
          <w:rPr>
            <w:rFonts w:eastAsia="Times New Roman"/>
            <w:b/>
            <w:sz w:val="32"/>
            <w:szCs w:val="32"/>
            <w:u w:val="single"/>
            <w:lang w:eastAsia="es-CO"/>
          </w:rPr>
          <w:t>artículo 108</w:t>
        </w:r>
      </w:hyperlink>
      <w:r w:rsidRPr="0018665B">
        <w:rPr>
          <w:rFonts w:eastAsia="Times New Roman"/>
          <w:b/>
          <w:sz w:val="32"/>
          <w:szCs w:val="32"/>
          <w:lang w:eastAsia="es-CO"/>
        </w:rPr>
        <w:t xml:space="preserve"> y el artículo 3° del Decreto 1070 de 2013, para la procedencia de su deducción en el impuesto de renta y complementarios, tesis igualmente aplicable a esta pregunta.”</w:t>
      </w:r>
    </w:p>
    <w:p w:rsidR="00481869" w:rsidRDefault="00F25391" w:rsidP="00D86D1B">
      <w:pPr>
        <w:ind w:right="567"/>
        <w:rPr>
          <w:rFonts w:eastAsia="Times New Roman"/>
          <w:szCs w:val="24"/>
          <w:lang w:eastAsia="es-CO"/>
        </w:rPr>
      </w:pPr>
      <w:r>
        <w:rPr>
          <w:rFonts w:eastAsia="Times New Roman"/>
          <w:szCs w:val="24"/>
          <w:lang w:eastAsia="es-CO"/>
        </w:rPr>
        <w:t xml:space="preserve">         /La negrilla</w:t>
      </w:r>
      <w:r w:rsidR="0018665B">
        <w:rPr>
          <w:rFonts w:eastAsia="Times New Roman"/>
          <w:szCs w:val="24"/>
          <w:lang w:eastAsia="es-CO"/>
        </w:rPr>
        <w:t>, parte resaltada</w:t>
      </w:r>
      <w:r>
        <w:rPr>
          <w:rFonts w:eastAsia="Times New Roman"/>
          <w:szCs w:val="24"/>
          <w:lang w:eastAsia="es-CO"/>
        </w:rPr>
        <w:t xml:space="preserve"> y subrayas fuera de texto/. </w:t>
      </w:r>
    </w:p>
    <w:p w:rsidR="00481869" w:rsidRDefault="00481869" w:rsidP="00D86D1B">
      <w:pPr>
        <w:rPr>
          <w:rFonts w:eastAsia="Times New Roman"/>
          <w:b/>
          <w:szCs w:val="24"/>
          <w:lang w:eastAsia="es-CO"/>
        </w:rPr>
      </w:pPr>
      <w:r>
        <w:rPr>
          <w:rFonts w:eastAsia="Times New Roman"/>
          <w:szCs w:val="24"/>
          <w:lang w:eastAsia="es-CO"/>
        </w:rPr>
        <w:br/>
        <w:t xml:space="preserve">Con base en lo expuesto en el punto quinto, puede visualizarse que en el Oficio No. 074235 de Noviembre 20 de 2013, la Subdirección de Gestión Normativa y Doctrina se </w:t>
      </w:r>
      <w:r>
        <w:rPr>
          <w:rFonts w:eastAsia="Times New Roman"/>
          <w:szCs w:val="24"/>
          <w:lang w:eastAsia="es-CO"/>
        </w:rPr>
        <w:lastRenderedPageBreak/>
        <w:t xml:space="preserve">releva la competencia para conceptuar sobre la base de cotización, mientras que en el </w:t>
      </w:r>
      <w:r w:rsidRPr="00481869">
        <w:rPr>
          <w:rFonts w:eastAsia="Times New Roman"/>
          <w:b/>
          <w:szCs w:val="24"/>
          <w:lang w:eastAsia="es-CO"/>
        </w:rPr>
        <w:t xml:space="preserve"> Oficio No. </w:t>
      </w:r>
      <w:r>
        <w:rPr>
          <w:rFonts w:eastAsia="Times New Roman"/>
          <w:b/>
          <w:szCs w:val="24"/>
          <w:lang w:eastAsia="es-CO"/>
        </w:rPr>
        <w:t xml:space="preserve">079831 de diciembre 12 de 2013 conceptúa que la base es la del 40%, yendo más allá en su interpretación sobre el aporte de los independientes extendiendo la obligación de solicitar la planilla a los pagos efectuados a los trabajadores por cuenta propia contemplados en el artículo 340 del Estatuto Tributario. </w:t>
      </w:r>
    </w:p>
    <w:p w:rsidR="00481869" w:rsidRDefault="00481869" w:rsidP="00D86D1B">
      <w:pPr>
        <w:rPr>
          <w:rFonts w:eastAsia="Times New Roman"/>
          <w:b/>
          <w:szCs w:val="24"/>
          <w:lang w:eastAsia="es-CO"/>
        </w:rPr>
      </w:pPr>
    </w:p>
    <w:p w:rsidR="00481869" w:rsidRDefault="00481869" w:rsidP="00D86D1B">
      <w:pPr>
        <w:rPr>
          <w:rFonts w:eastAsia="Times New Roman"/>
          <w:b/>
          <w:szCs w:val="24"/>
          <w:lang w:eastAsia="es-CO"/>
        </w:rPr>
      </w:pPr>
      <w:r>
        <w:rPr>
          <w:rFonts w:eastAsia="Times New Roman"/>
          <w:b/>
          <w:szCs w:val="24"/>
          <w:lang w:eastAsia="es-CO"/>
        </w:rPr>
        <w:t xml:space="preserve">PREGUNTA SOBRE EL PUNTO QUINTO: </w:t>
      </w:r>
    </w:p>
    <w:p w:rsidR="00481869" w:rsidRDefault="00481869" w:rsidP="00D86D1B">
      <w:pPr>
        <w:rPr>
          <w:rFonts w:eastAsia="Times New Roman"/>
          <w:b/>
          <w:szCs w:val="24"/>
          <w:lang w:eastAsia="es-CO"/>
        </w:rPr>
      </w:pPr>
    </w:p>
    <w:p w:rsidR="00481869" w:rsidRDefault="009122BC" w:rsidP="00D86D1B">
      <w:pPr>
        <w:rPr>
          <w:rFonts w:eastAsia="Times New Roman"/>
          <w:b/>
          <w:szCs w:val="24"/>
          <w:lang w:eastAsia="es-CO"/>
        </w:rPr>
      </w:pPr>
      <w:r>
        <w:rPr>
          <w:rFonts w:eastAsia="Times New Roman"/>
          <w:b/>
          <w:szCs w:val="24"/>
          <w:lang w:eastAsia="es-CO"/>
        </w:rPr>
        <w:t xml:space="preserve">5.1 </w:t>
      </w:r>
      <w:r w:rsidRPr="00F25391">
        <w:rPr>
          <w:rFonts w:eastAsia="Times New Roman"/>
          <w:szCs w:val="24"/>
          <w:lang w:eastAsia="es-CO"/>
        </w:rPr>
        <w:t>¿Según ese despacho, es obligatorio exigir entonces sobre todo pago efectuado a una persona natural residente,  por concepto de prestación de servicios, arrendamientos, co</w:t>
      </w:r>
      <w:r w:rsidR="00F27DC9">
        <w:rPr>
          <w:rFonts w:eastAsia="Times New Roman"/>
          <w:szCs w:val="24"/>
          <w:lang w:eastAsia="es-CO"/>
        </w:rPr>
        <w:t xml:space="preserve">ntratos de cualquier naturaleza y sobre </w:t>
      </w:r>
      <w:r w:rsidRPr="00F25391">
        <w:rPr>
          <w:rFonts w:eastAsia="Times New Roman"/>
          <w:szCs w:val="24"/>
          <w:lang w:eastAsia="es-CO"/>
        </w:rPr>
        <w:t xml:space="preserve"> pagos a trabajadores del artículo 340 del E.T, la demostración que ha realizado los aportes a la seguridad social sobre una base del 40%.</w:t>
      </w:r>
      <w:r w:rsidR="00A020D2">
        <w:rPr>
          <w:rFonts w:eastAsia="Times New Roman"/>
          <w:szCs w:val="24"/>
          <w:lang w:eastAsia="es-CO"/>
        </w:rPr>
        <w:t>?</w:t>
      </w:r>
    </w:p>
    <w:p w:rsidR="009122BC" w:rsidRDefault="009122BC" w:rsidP="00D86D1B">
      <w:pPr>
        <w:rPr>
          <w:rFonts w:eastAsia="Times New Roman"/>
          <w:b/>
          <w:szCs w:val="24"/>
          <w:lang w:eastAsia="es-CO"/>
        </w:rPr>
      </w:pPr>
    </w:p>
    <w:p w:rsidR="009122BC" w:rsidRPr="00F25391" w:rsidRDefault="009122BC" w:rsidP="00D86D1B">
      <w:r>
        <w:rPr>
          <w:rFonts w:eastAsia="Times New Roman"/>
          <w:b/>
          <w:szCs w:val="24"/>
          <w:lang w:eastAsia="es-CO"/>
        </w:rPr>
        <w:t xml:space="preserve">5.2.  </w:t>
      </w:r>
      <w:r w:rsidRPr="00F25391">
        <w:rPr>
          <w:rFonts w:eastAsia="Times New Roman"/>
          <w:szCs w:val="24"/>
          <w:lang w:eastAsia="es-CO"/>
        </w:rPr>
        <w:t xml:space="preserve">En el Oficio No. 013196 de Febrero 21 de 2014, la Subdirección de Gestión Normativa y Doctrina en respuesta a consulta No. 6 </w:t>
      </w:r>
      <w:r w:rsidR="00F25391">
        <w:rPr>
          <w:rFonts w:eastAsia="Times New Roman"/>
          <w:szCs w:val="24"/>
          <w:lang w:eastAsia="es-CO"/>
        </w:rPr>
        <w:t xml:space="preserve"> expresa </w:t>
      </w:r>
      <w:r w:rsidRPr="00F25391">
        <w:rPr>
          <w:rFonts w:eastAsia="Times New Roman"/>
          <w:szCs w:val="24"/>
          <w:lang w:eastAsia="es-CO"/>
        </w:rPr>
        <w:t xml:space="preserve">que el Concepto No. 1832 de 2007 emitido por la Sala de Consulta y Servicio Civil del Consejo de Estado no es vinculante, pero sin embargo lo cita como vinculante en el Oficio No. 079831  de diciembre 12 de 2013, </w:t>
      </w:r>
      <w:r w:rsidR="00F25391">
        <w:rPr>
          <w:rFonts w:eastAsia="Times New Roman"/>
          <w:szCs w:val="24"/>
          <w:lang w:eastAsia="es-CO"/>
        </w:rPr>
        <w:t xml:space="preserve">en el cual </w:t>
      </w:r>
      <w:r w:rsidRPr="00F25391">
        <w:rPr>
          <w:rFonts w:eastAsia="Times New Roman"/>
          <w:szCs w:val="24"/>
          <w:lang w:eastAsia="es-CO"/>
        </w:rPr>
        <w:t>transcribe apartes de dicho concepto respecto de la base máxima del 40%.</w:t>
      </w:r>
    </w:p>
    <w:p w:rsidR="00481869" w:rsidRPr="00F25391" w:rsidRDefault="00481869" w:rsidP="00D86D1B">
      <w:pPr>
        <w:rPr>
          <w:rFonts w:eastAsia="Times New Roman"/>
          <w:szCs w:val="24"/>
          <w:lang w:eastAsia="es-CO"/>
        </w:rPr>
      </w:pPr>
    </w:p>
    <w:p w:rsidR="009122BC" w:rsidRDefault="008D40F3" w:rsidP="00D86D1B">
      <w:pPr>
        <w:rPr>
          <w:rFonts w:eastAsia="Times New Roman"/>
          <w:szCs w:val="24"/>
          <w:lang w:eastAsia="es-CO"/>
        </w:rPr>
      </w:pPr>
      <w:r w:rsidRPr="00F27DC9">
        <w:rPr>
          <w:rFonts w:eastAsia="Times New Roman"/>
          <w:b/>
          <w:sz w:val="32"/>
          <w:szCs w:val="32"/>
          <w:lang w:eastAsia="es-CO"/>
        </w:rPr>
        <w:t>¿</w:t>
      </w:r>
      <w:r w:rsidR="009122BC" w:rsidRPr="00F27DC9">
        <w:rPr>
          <w:rFonts w:eastAsia="Times New Roman"/>
          <w:b/>
          <w:sz w:val="32"/>
          <w:szCs w:val="32"/>
          <w:lang w:eastAsia="es-CO"/>
        </w:rPr>
        <w:t xml:space="preserve">Se pregunta entonces, </w:t>
      </w:r>
      <w:r w:rsidR="009122BC">
        <w:rPr>
          <w:rFonts w:eastAsia="Times New Roman"/>
          <w:szCs w:val="24"/>
          <w:lang w:eastAsia="es-CO"/>
        </w:rPr>
        <w:t xml:space="preserve">si </w:t>
      </w:r>
      <w:r>
        <w:rPr>
          <w:rFonts w:eastAsia="Times New Roman"/>
          <w:szCs w:val="24"/>
          <w:lang w:eastAsia="es-CO"/>
        </w:rPr>
        <w:t>en concepto de ese despacho, el concepto No. 1832 de 2007 emitido por la Sala de Consulta y Servicio Civil del Consejo de Estado es o no vinculante, el cual expresa que las normas expedidas antes de la promulgación de la ley 1122 de 2007 relacionadas con la base para la liquidación de aportes por parte de los independientes han perdido vigencia</w:t>
      </w:r>
      <w:proofErr w:type="gramStart"/>
      <w:r>
        <w:rPr>
          <w:rFonts w:eastAsia="Times New Roman"/>
          <w:szCs w:val="24"/>
          <w:lang w:eastAsia="es-CO"/>
        </w:rPr>
        <w:t>?.</w:t>
      </w:r>
      <w:proofErr w:type="gramEnd"/>
      <w:r>
        <w:rPr>
          <w:rFonts w:eastAsia="Times New Roman"/>
          <w:szCs w:val="24"/>
          <w:lang w:eastAsia="es-CO"/>
        </w:rPr>
        <w:t xml:space="preserve"> </w:t>
      </w:r>
    </w:p>
    <w:p w:rsidR="008D40F3" w:rsidRDefault="008D40F3" w:rsidP="00D86D1B">
      <w:pPr>
        <w:rPr>
          <w:rFonts w:eastAsia="Times New Roman"/>
          <w:szCs w:val="24"/>
          <w:lang w:eastAsia="es-CO"/>
        </w:rPr>
      </w:pPr>
    </w:p>
    <w:p w:rsidR="008D40F3" w:rsidRDefault="008D40F3" w:rsidP="00D86D1B">
      <w:pPr>
        <w:rPr>
          <w:rFonts w:eastAsia="Times New Roman"/>
          <w:szCs w:val="24"/>
          <w:lang w:eastAsia="es-CO"/>
        </w:rPr>
      </w:pPr>
      <w:r w:rsidRPr="00870657">
        <w:rPr>
          <w:rFonts w:eastAsia="Times New Roman"/>
          <w:b/>
          <w:szCs w:val="24"/>
          <w:lang w:eastAsia="es-CO"/>
        </w:rPr>
        <w:t>5.3.</w:t>
      </w:r>
      <w:r>
        <w:rPr>
          <w:rFonts w:eastAsia="Times New Roman"/>
          <w:szCs w:val="24"/>
          <w:lang w:eastAsia="es-CO"/>
        </w:rPr>
        <w:t xml:space="preserve"> </w:t>
      </w:r>
      <w:r w:rsidRPr="00F27DC9">
        <w:rPr>
          <w:rFonts w:eastAsia="Times New Roman"/>
          <w:b/>
          <w:sz w:val="32"/>
          <w:szCs w:val="32"/>
          <w:lang w:eastAsia="es-CO"/>
        </w:rPr>
        <w:t>Si la  respuesta es que si es vinculante</w:t>
      </w:r>
      <w:r>
        <w:rPr>
          <w:rFonts w:eastAsia="Times New Roman"/>
          <w:szCs w:val="24"/>
          <w:lang w:eastAsia="es-CO"/>
        </w:rPr>
        <w:t xml:space="preserve">, toda vez </w:t>
      </w:r>
      <w:r w:rsidR="004A5107">
        <w:rPr>
          <w:rFonts w:eastAsia="Times New Roman"/>
          <w:szCs w:val="24"/>
          <w:lang w:eastAsia="es-CO"/>
        </w:rPr>
        <w:t>que</w:t>
      </w:r>
      <w:r w:rsidR="00F27DC9">
        <w:rPr>
          <w:rFonts w:eastAsia="Times New Roman"/>
          <w:szCs w:val="24"/>
          <w:lang w:eastAsia="es-CO"/>
        </w:rPr>
        <w:t xml:space="preserve"> la Subdirección de Gestión Normativa y Doctrina </w:t>
      </w:r>
      <w:r>
        <w:rPr>
          <w:rFonts w:eastAsia="Times New Roman"/>
          <w:szCs w:val="24"/>
          <w:lang w:eastAsia="es-CO"/>
        </w:rPr>
        <w:t xml:space="preserve"> lo cita en el Oficio No.079831 de diciembre 12 de 2013, </w:t>
      </w:r>
      <w:r w:rsidRPr="00F27DC9">
        <w:rPr>
          <w:rFonts w:eastAsia="Times New Roman"/>
          <w:b/>
          <w:sz w:val="32"/>
          <w:szCs w:val="32"/>
          <w:lang w:eastAsia="es-CO"/>
        </w:rPr>
        <w:t>entonces</w:t>
      </w:r>
      <w:r w:rsidR="00870657" w:rsidRPr="00F27DC9">
        <w:rPr>
          <w:rFonts w:eastAsia="Times New Roman"/>
          <w:b/>
          <w:sz w:val="32"/>
          <w:szCs w:val="32"/>
          <w:lang w:eastAsia="es-CO"/>
        </w:rPr>
        <w:t xml:space="preserve"> se pregunta si</w:t>
      </w:r>
      <w:r w:rsidR="00870657">
        <w:rPr>
          <w:rFonts w:eastAsia="Times New Roman"/>
          <w:szCs w:val="24"/>
          <w:lang w:eastAsia="es-CO"/>
        </w:rPr>
        <w:t xml:space="preserve"> </w:t>
      </w:r>
      <w:r>
        <w:rPr>
          <w:rFonts w:eastAsia="Times New Roman"/>
          <w:szCs w:val="24"/>
          <w:lang w:eastAsia="es-CO"/>
        </w:rPr>
        <w:t xml:space="preserve"> </w:t>
      </w:r>
      <w:r w:rsidRPr="00F27DC9">
        <w:rPr>
          <w:rFonts w:eastAsia="Times New Roman"/>
          <w:b/>
          <w:sz w:val="32"/>
          <w:szCs w:val="32"/>
          <w:lang w:eastAsia="es-CO"/>
        </w:rPr>
        <w:t>se encuentran o no vigent</w:t>
      </w:r>
      <w:r w:rsidR="00870657" w:rsidRPr="00F27DC9">
        <w:rPr>
          <w:rFonts w:eastAsia="Times New Roman"/>
          <w:b/>
          <w:sz w:val="32"/>
          <w:szCs w:val="32"/>
          <w:lang w:eastAsia="es-CO"/>
        </w:rPr>
        <w:t>es las normas</w:t>
      </w:r>
      <w:r w:rsidR="00870657">
        <w:rPr>
          <w:rFonts w:eastAsia="Times New Roman"/>
          <w:szCs w:val="24"/>
          <w:lang w:eastAsia="es-CO"/>
        </w:rPr>
        <w:t xml:space="preserve">  expedida</w:t>
      </w:r>
      <w:r>
        <w:rPr>
          <w:rFonts w:eastAsia="Times New Roman"/>
          <w:szCs w:val="24"/>
          <w:lang w:eastAsia="es-CO"/>
        </w:rPr>
        <w:t>s antes de la ley 1122</w:t>
      </w:r>
      <w:r w:rsidR="00870657">
        <w:rPr>
          <w:rFonts w:eastAsia="Times New Roman"/>
          <w:szCs w:val="24"/>
          <w:lang w:eastAsia="es-CO"/>
        </w:rPr>
        <w:t>, entre ella</w:t>
      </w:r>
      <w:r>
        <w:rPr>
          <w:rFonts w:eastAsia="Times New Roman"/>
          <w:szCs w:val="24"/>
          <w:lang w:eastAsia="es-CO"/>
        </w:rPr>
        <w:t>s el artículo 23 del decreto 1703 de 2002, el cual es citado</w:t>
      </w:r>
      <w:r w:rsidR="00F27DC9">
        <w:rPr>
          <w:rFonts w:eastAsia="Times New Roman"/>
          <w:szCs w:val="24"/>
          <w:lang w:eastAsia="es-CO"/>
        </w:rPr>
        <w:t xml:space="preserve"> tanto  por </w:t>
      </w:r>
      <w:r>
        <w:rPr>
          <w:rFonts w:eastAsia="Times New Roman"/>
          <w:szCs w:val="24"/>
          <w:lang w:eastAsia="es-CO"/>
        </w:rPr>
        <w:t xml:space="preserve"> la Su</w:t>
      </w:r>
      <w:r w:rsidR="00F27DC9">
        <w:rPr>
          <w:rFonts w:eastAsia="Times New Roman"/>
          <w:szCs w:val="24"/>
          <w:lang w:eastAsia="es-CO"/>
        </w:rPr>
        <w:t xml:space="preserve">bdirección de Gestión Jurídica  como </w:t>
      </w:r>
      <w:r>
        <w:rPr>
          <w:rFonts w:eastAsia="Times New Roman"/>
          <w:szCs w:val="24"/>
          <w:lang w:eastAsia="es-CO"/>
        </w:rPr>
        <w:t xml:space="preserve"> por la Oficina Jurídica en todos los conceptos relacion</w:t>
      </w:r>
      <w:r w:rsidR="00F27DC9">
        <w:rPr>
          <w:rFonts w:eastAsia="Times New Roman"/>
          <w:szCs w:val="24"/>
          <w:lang w:eastAsia="es-CO"/>
        </w:rPr>
        <w:t>ados con la base de aportes en</w:t>
      </w:r>
      <w:r>
        <w:rPr>
          <w:rFonts w:eastAsia="Times New Roman"/>
          <w:szCs w:val="24"/>
          <w:lang w:eastAsia="es-CO"/>
        </w:rPr>
        <w:t xml:space="preserve"> el caso de los trabajadores independientes.</w:t>
      </w:r>
      <w:r w:rsidR="00F27DC9">
        <w:rPr>
          <w:rFonts w:eastAsia="Times New Roman"/>
          <w:szCs w:val="24"/>
          <w:lang w:eastAsia="es-CO"/>
        </w:rPr>
        <w:t>?</w:t>
      </w:r>
    </w:p>
    <w:p w:rsidR="008D40F3" w:rsidRDefault="008D40F3" w:rsidP="00D86D1B">
      <w:pPr>
        <w:rPr>
          <w:rFonts w:eastAsia="Times New Roman"/>
          <w:szCs w:val="24"/>
          <w:lang w:eastAsia="es-CO"/>
        </w:rPr>
      </w:pPr>
    </w:p>
    <w:p w:rsidR="00C75026" w:rsidRDefault="008D40F3" w:rsidP="00D86D1B">
      <w:pPr>
        <w:rPr>
          <w:rFonts w:eastAsia="Times New Roman"/>
          <w:szCs w:val="24"/>
          <w:lang w:eastAsia="es-CO"/>
        </w:rPr>
      </w:pPr>
      <w:r w:rsidRPr="003677C7">
        <w:rPr>
          <w:rFonts w:eastAsia="Times New Roman"/>
          <w:b/>
          <w:szCs w:val="24"/>
          <w:lang w:eastAsia="es-CO"/>
        </w:rPr>
        <w:t>5.4</w:t>
      </w:r>
      <w:r>
        <w:rPr>
          <w:rFonts w:eastAsia="Times New Roman"/>
          <w:szCs w:val="24"/>
          <w:lang w:eastAsia="es-CO"/>
        </w:rPr>
        <w:t xml:space="preserve">. El artículo 18 de la ley 1122 de 2007 </w:t>
      </w:r>
      <w:r w:rsidR="00C75026">
        <w:rPr>
          <w:rFonts w:eastAsia="Times New Roman"/>
          <w:szCs w:val="24"/>
          <w:lang w:eastAsia="es-CO"/>
        </w:rPr>
        <w:t xml:space="preserve"> expresa:</w:t>
      </w:r>
    </w:p>
    <w:p w:rsidR="00C75026" w:rsidRDefault="00C75026" w:rsidP="00D86D1B">
      <w:pPr>
        <w:rPr>
          <w:rFonts w:eastAsia="Times New Roman"/>
          <w:szCs w:val="24"/>
          <w:lang w:eastAsia="es-CO"/>
        </w:rPr>
      </w:pPr>
    </w:p>
    <w:p w:rsidR="00C75026" w:rsidRPr="00C75026" w:rsidRDefault="00C75026" w:rsidP="00D86D1B">
      <w:pPr>
        <w:tabs>
          <w:tab w:val="center" w:pos="510"/>
          <w:tab w:val="left" w:pos="1134"/>
        </w:tabs>
        <w:adjustRightInd w:val="0"/>
        <w:ind w:left="567" w:right="567"/>
        <w:textAlignment w:val="center"/>
        <w:rPr>
          <w:rFonts w:eastAsia="Times New Roman"/>
          <w:b/>
          <w:szCs w:val="24"/>
          <w:u w:val="single"/>
          <w:lang w:eastAsia="es-CO"/>
        </w:rPr>
      </w:pPr>
      <w:r>
        <w:rPr>
          <w:rFonts w:eastAsia="Batang"/>
          <w:szCs w:val="24"/>
          <w:lang w:val="es-ES_tradnl" w:eastAsia="es-CO"/>
        </w:rPr>
        <w:lastRenderedPageBreak/>
        <w:t>“</w:t>
      </w:r>
      <w:r w:rsidRPr="00C75026">
        <w:rPr>
          <w:rFonts w:eastAsia="Batang"/>
          <w:szCs w:val="24"/>
          <w:lang w:val="es-ES_tradnl" w:eastAsia="es-CO"/>
        </w:rPr>
        <w:t xml:space="preserve">Artículo 18. </w:t>
      </w:r>
      <w:r w:rsidRPr="00C75026">
        <w:rPr>
          <w:rFonts w:eastAsia="Batang"/>
          <w:i/>
          <w:iCs/>
          <w:szCs w:val="24"/>
          <w:lang w:val="es-ES_tradnl" w:eastAsia="es-CO"/>
        </w:rPr>
        <w:t>Aseguramiento de los independientes contratistas de prestación de servicios</w:t>
      </w:r>
      <w:r w:rsidRPr="00C75026">
        <w:rPr>
          <w:rFonts w:eastAsia="Batang"/>
          <w:szCs w:val="24"/>
          <w:lang w:val="es-ES_tradnl" w:eastAsia="es-CO"/>
        </w:rPr>
        <w:t xml:space="preserve">. Los independientes contratistas de prestación de servicios cotizarán al Sistema General de Seguridad Social en Salud el porcentaje obligatorio para salud sobre una base de la </w:t>
      </w:r>
      <w:r w:rsidRPr="00C75026">
        <w:rPr>
          <w:rFonts w:eastAsia="Batang"/>
          <w:b/>
          <w:szCs w:val="24"/>
          <w:lang w:val="es-ES_tradnl" w:eastAsia="es-CO"/>
        </w:rPr>
        <w:t xml:space="preserve">cotización máxima de un 40% del valor </w:t>
      </w:r>
      <w:proofErr w:type="spellStart"/>
      <w:r w:rsidRPr="00C75026">
        <w:rPr>
          <w:rFonts w:eastAsia="Batang"/>
          <w:b/>
          <w:szCs w:val="24"/>
          <w:lang w:val="es-ES_tradnl" w:eastAsia="es-CO"/>
        </w:rPr>
        <w:t>mensualizado</w:t>
      </w:r>
      <w:proofErr w:type="spellEnd"/>
      <w:r w:rsidRPr="00C75026">
        <w:rPr>
          <w:rFonts w:eastAsia="Batang"/>
          <w:b/>
          <w:szCs w:val="24"/>
          <w:lang w:val="es-ES_tradnl" w:eastAsia="es-CO"/>
        </w:rPr>
        <w:t xml:space="preserve"> del contrato</w:t>
      </w:r>
      <w:r w:rsidRPr="00C75026">
        <w:rPr>
          <w:rFonts w:eastAsia="Batang"/>
          <w:szCs w:val="24"/>
          <w:lang w:val="es-ES_tradnl" w:eastAsia="es-CO"/>
        </w:rPr>
        <w:t xml:space="preserve">. </w:t>
      </w:r>
      <w:r w:rsidRPr="00C75026">
        <w:rPr>
          <w:rFonts w:eastAsia="Batang"/>
          <w:b/>
          <w:szCs w:val="24"/>
          <w:u w:val="single"/>
          <w:lang w:val="es-ES_tradnl" w:eastAsia="es-CO"/>
        </w:rPr>
        <w:t>El contratista podrá autorizar a la entidad contratante el descuento y pago de la cotización sin que ello genere relación laboral.</w:t>
      </w:r>
      <w:r>
        <w:rPr>
          <w:rFonts w:eastAsia="Batang"/>
          <w:b/>
          <w:szCs w:val="24"/>
          <w:u w:val="single"/>
          <w:lang w:val="es-ES_tradnl" w:eastAsia="es-CO"/>
        </w:rPr>
        <w:t>”</w:t>
      </w:r>
    </w:p>
    <w:p w:rsidR="008D40F3" w:rsidRDefault="008D40F3" w:rsidP="00D86D1B">
      <w:pPr>
        <w:ind w:right="567"/>
        <w:rPr>
          <w:rFonts w:eastAsia="Times New Roman"/>
          <w:szCs w:val="24"/>
          <w:lang w:eastAsia="es-CO"/>
        </w:rPr>
      </w:pPr>
    </w:p>
    <w:p w:rsidR="008B1715" w:rsidRDefault="008B1715" w:rsidP="00D86D1B">
      <w:pPr>
        <w:ind w:right="567"/>
        <w:rPr>
          <w:rFonts w:eastAsia="Times New Roman"/>
          <w:szCs w:val="24"/>
          <w:lang w:eastAsia="es-CO"/>
        </w:rPr>
      </w:pPr>
    </w:p>
    <w:p w:rsidR="00C75026" w:rsidRDefault="008B1715" w:rsidP="00D86D1B">
      <w:pPr>
        <w:rPr>
          <w:rFonts w:eastAsia="Times New Roman"/>
          <w:szCs w:val="24"/>
          <w:lang w:eastAsia="es-CO"/>
        </w:rPr>
      </w:pPr>
      <w:r>
        <w:rPr>
          <w:rFonts w:eastAsia="Times New Roman"/>
          <w:szCs w:val="24"/>
          <w:lang w:eastAsia="es-CO"/>
        </w:rPr>
        <w:t>¿</w:t>
      </w:r>
      <w:r w:rsidR="003677C7">
        <w:rPr>
          <w:rFonts w:eastAsia="Times New Roman"/>
          <w:szCs w:val="24"/>
          <w:lang w:eastAsia="es-CO"/>
        </w:rPr>
        <w:t>Si el  artículo anterior</w:t>
      </w:r>
      <w:r>
        <w:rPr>
          <w:rFonts w:eastAsia="Times New Roman"/>
          <w:szCs w:val="24"/>
          <w:lang w:eastAsia="es-CO"/>
        </w:rPr>
        <w:t xml:space="preserve"> señala que la base de cotización máxima será del 40%, pero no indica en forma expresa q</w:t>
      </w:r>
      <w:r w:rsidR="00832946">
        <w:rPr>
          <w:rFonts w:eastAsia="Times New Roman"/>
          <w:szCs w:val="24"/>
          <w:lang w:eastAsia="es-CO"/>
        </w:rPr>
        <w:t xml:space="preserve">ue </w:t>
      </w:r>
      <w:r>
        <w:rPr>
          <w:rFonts w:eastAsia="Times New Roman"/>
          <w:szCs w:val="24"/>
          <w:lang w:eastAsia="es-CO"/>
        </w:rPr>
        <w:t xml:space="preserve"> será del 40% en todos los casos, por qué ese despacho señala en todos los conceptos emitidos que la base </w:t>
      </w:r>
      <w:r w:rsidR="003677C7">
        <w:rPr>
          <w:rFonts w:eastAsia="Times New Roman"/>
          <w:szCs w:val="24"/>
          <w:lang w:eastAsia="es-CO"/>
        </w:rPr>
        <w:t xml:space="preserve">de liquidación de aportes al sistema de Seguridad Social  de las personas naturales residentes  </w:t>
      </w:r>
      <w:r w:rsidR="00832946">
        <w:rPr>
          <w:rFonts w:eastAsia="Times New Roman"/>
          <w:szCs w:val="24"/>
          <w:lang w:eastAsia="es-CO"/>
        </w:rPr>
        <w:t xml:space="preserve">corresponde al </w:t>
      </w:r>
      <w:r>
        <w:rPr>
          <w:rFonts w:eastAsia="Times New Roman"/>
          <w:szCs w:val="24"/>
          <w:lang w:eastAsia="es-CO"/>
        </w:rPr>
        <w:t xml:space="preserve"> 40%</w:t>
      </w:r>
      <w:r w:rsidR="00832946">
        <w:rPr>
          <w:rFonts w:eastAsia="Times New Roman"/>
          <w:szCs w:val="24"/>
          <w:lang w:eastAsia="es-CO"/>
        </w:rPr>
        <w:t xml:space="preserve"> del valor </w:t>
      </w:r>
      <w:proofErr w:type="spellStart"/>
      <w:r w:rsidR="00832946">
        <w:rPr>
          <w:rFonts w:eastAsia="Times New Roman"/>
          <w:szCs w:val="24"/>
          <w:lang w:eastAsia="es-CO"/>
        </w:rPr>
        <w:t>mensualizado</w:t>
      </w:r>
      <w:proofErr w:type="spellEnd"/>
      <w:r w:rsidR="00832946">
        <w:rPr>
          <w:rFonts w:eastAsia="Times New Roman"/>
          <w:szCs w:val="24"/>
          <w:lang w:eastAsia="es-CO"/>
        </w:rPr>
        <w:t xml:space="preserve"> de los </w:t>
      </w:r>
      <w:r w:rsidR="00FC4555">
        <w:rPr>
          <w:rFonts w:eastAsia="Times New Roman"/>
          <w:szCs w:val="24"/>
          <w:lang w:eastAsia="es-CO"/>
        </w:rPr>
        <w:t>pagos?</w:t>
      </w:r>
    </w:p>
    <w:p w:rsidR="005B5207" w:rsidRDefault="005B5207" w:rsidP="00D86D1B">
      <w:pPr>
        <w:rPr>
          <w:rFonts w:eastAsia="Times New Roman"/>
          <w:szCs w:val="24"/>
          <w:lang w:eastAsia="es-CO"/>
        </w:rPr>
      </w:pPr>
    </w:p>
    <w:p w:rsidR="00005F21" w:rsidRDefault="00005F21" w:rsidP="00D86D1B">
      <w:pPr>
        <w:rPr>
          <w:rFonts w:eastAsia="Times New Roman"/>
          <w:b/>
          <w:szCs w:val="24"/>
          <w:lang w:eastAsia="es-CO"/>
        </w:rPr>
      </w:pPr>
      <w:r w:rsidRPr="00005F21">
        <w:rPr>
          <w:rFonts w:eastAsia="Times New Roman"/>
          <w:b/>
          <w:szCs w:val="24"/>
          <w:lang w:eastAsia="es-CO"/>
        </w:rPr>
        <w:t xml:space="preserve">SEXTA: </w:t>
      </w:r>
    </w:p>
    <w:p w:rsidR="0008197B" w:rsidRDefault="0008197B" w:rsidP="00D86D1B">
      <w:pPr>
        <w:rPr>
          <w:rFonts w:eastAsia="Times New Roman"/>
          <w:b/>
          <w:szCs w:val="24"/>
          <w:lang w:eastAsia="es-CO"/>
        </w:rPr>
      </w:pPr>
    </w:p>
    <w:p w:rsidR="0008197B" w:rsidRDefault="0008197B" w:rsidP="00D86D1B">
      <w:pPr>
        <w:rPr>
          <w:rFonts w:eastAsia="Times New Roman"/>
          <w:szCs w:val="24"/>
          <w:lang w:eastAsia="es-CO"/>
        </w:rPr>
      </w:pPr>
      <w:r w:rsidRPr="0008197B">
        <w:rPr>
          <w:rFonts w:eastAsia="Times New Roman"/>
          <w:szCs w:val="24"/>
          <w:lang w:eastAsia="es-CO"/>
        </w:rPr>
        <w:t>El artículo 3º del decreto 3032 de diciembre 27 de 2013 adicionó un requisito que no estaba contemplado en la ley 1607 de 2012 para</w:t>
      </w:r>
      <w:r>
        <w:rPr>
          <w:rFonts w:eastAsia="Times New Roman"/>
          <w:szCs w:val="24"/>
          <w:lang w:eastAsia="es-CO"/>
        </w:rPr>
        <w:t xml:space="preserve"> que las personas naturales residentes </w:t>
      </w:r>
      <w:r w:rsidRPr="0008197B">
        <w:rPr>
          <w:rFonts w:eastAsia="Times New Roman"/>
          <w:szCs w:val="24"/>
          <w:lang w:eastAsia="es-CO"/>
        </w:rPr>
        <w:t xml:space="preserve"> </w:t>
      </w:r>
      <w:r>
        <w:rPr>
          <w:rFonts w:eastAsia="Times New Roman"/>
          <w:szCs w:val="24"/>
          <w:lang w:eastAsia="es-CO"/>
        </w:rPr>
        <w:t xml:space="preserve">puedan acogerse al SISTEMA IMAS contemplado en el artículo 340 del E.T. </w:t>
      </w:r>
      <w:r w:rsidRPr="0008197B">
        <w:rPr>
          <w:rFonts w:eastAsia="Times New Roman"/>
          <w:szCs w:val="24"/>
          <w:lang w:eastAsia="es-CO"/>
        </w:rPr>
        <w:t xml:space="preserve">como es el que el patrimonio líquido declarado en el período gravable anterior sea inferior a 12.000 UVT. </w:t>
      </w:r>
    </w:p>
    <w:p w:rsidR="0008197B" w:rsidRDefault="0008197B" w:rsidP="00D86D1B">
      <w:pPr>
        <w:rPr>
          <w:rFonts w:eastAsia="Times New Roman"/>
          <w:szCs w:val="24"/>
          <w:lang w:eastAsia="es-CO"/>
        </w:rPr>
      </w:pPr>
    </w:p>
    <w:p w:rsidR="0008197B" w:rsidRPr="0008197B" w:rsidRDefault="0008197B" w:rsidP="00D86D1B">
      <w:pPr>
        <w:rPr>
          <w:rFonts w:eastAsia="Times New Roman"/>
          <w:b/>
          <w:szCs w:val="24"/>
          <w:lang w:eastAsia="es-CO"/>
        </w:rPr>
      </w:pPr>
      <w:r w:rsidRPr="0008197B">
        <w:rPr>
          <w:rFonts w:eastAsia="Times New Roman"/>
          <w:b/>
          <w:szCs w:val="24"/>
          <w:lang w:eastAsia="es-CO"/>
        </w:rPr>
        <w:t xml:space="preserve">PREGUNTA: </w:t>
      </w:r>
    </w:p>
    <w:p w:rsidR="0008197B" w:rsidRDefault="0008197B" w:rsidP="00D86D1B">
      <w:pPr>
        <w:rPr>
          <w:rFonts w:eastAsia="Times New Roman"/>
          <w:szCs w:val="24"/>
          <w:lang w:eastAsia="es-CO"/>
        </w:rPr>
      </w:pPr>
    </w:p>
    <w:p w:rsidR="0008197B" w:rsidRPr="0008197B" w:rsidRDefault="0008197B" w:rsidP="00D86D1B">
      <w:pPr>
        <w:rPr>
          <w:rFonts w:eastAsia="Times New Roman"/>
          <w:szCs w:val="24"/>
          <w:lang w:eastAsia="es-CO"/>
        </w:rPr>
      </w:pPr>
      <w:r>
        <w:rPr>
          <w:rFonts w:eastAsia="Times New Roman"/>
          <w:szCs w:val="24"/>
          <w:lang w:eastAsia="es-CO"/>
        </w:rPr>
        <w:t>¿Esta limitante que no estaba consagrada en la Ley 1607 de diciembre 26 de 2012, aplica para el año gravable 2013, o p</w:t>
      </w:r>
      <w:r w:rsidR="001C2B54">
        <w:rPr>
          <w:rFonts w:eastAsia="Times New Roman"/>
          <w:szCs w:val="24"/>
          <w:lang w:eastAsia="es-CO"/>
        </w:rPr>
        <w:t xml:space="preserve">or </w:t>
      </w:r>
      <w:r>
        <w:rPr>
          <w:rFonts w:eastAsia="Times New Roman"/>
          <w:szCs w:val="24"/>
          <w:lang w:eastAsia="es-CO"/>
        </w:rPr>
        <w:t xml:space="preserve"> sólo aplica a partir del año gravable 2014</w:t>
      </w:r>
      <w:proofErr w:type="gramStart"/>
      <w:r>
        <w:rPr>
          <w:rFonts w:eastAsia="Times New Roman"/>
          <w:szCs w:val="24"/>
          <w:lang w:eastAsia="es-CO"/>
        </w:rPr>
        <w:t>?.</w:t>
      </w:r>
      <w:proofErr w:type="gramEnd"/>
      <w:r>
        <w:rPr>
          <w:rFonts w:eastAsia="Times New Roman"/>
          <w:szCs w:val="24"/>
          <w:lang w:eastAsia="es-CO"/>
        </w:rPr>
        <w:t xml:space="preserve"> </w:t>
      </w:r>
    </w:p>
    <w:p w:rsidR="00005F21" w:rsidRDefault="00005F21" w:rsidP="00D86D1B">
      <w:pPr>
        <w:rPr>
          <w:rFonts w:eastAsia="Times New Roman"/>
          <w:b/>
          <w:szCs w:val="24"/>
          <w:lang w:eastAsia="es-CO"/>
        </w:rPr>
      </w:pPr>
    </w:p>
    <w:p w:rsidR="00062E83" w:rsidRDefault="00062E83" w:rsidP="00D86D1B">
      <w:pPr>
        <w:rPr>
          <w:rFonts w:eastAsia="Times New Roman"/>
          <w:b/>
          <w:szCs w:val="24"/>
          <w:lang w:eastAsia="es-CO"/>
        </w:rPr>
      </w:pPr>
      <w:r>
        <w:rPr>
          <w:rFonts w:eastAsia="Times New Roman"/>
          <w:b/>
          <w:szCs w:val="24"/>
          <w:lang w:eastAsia="es-CO"/>
        </w:rPr>
        <w:t xml:space="preserve">SEPTIMA: </w:t>
      </w:r>
    </w:p>
    <w:p w:rsidR="00062E83" w:rsidRDefault="00062E83" w:rsidP="00D86D1B">
      <w:pPr>
        <w:rPr>
          <w:rFonts w:eastAsia="Times New Roman"/>
          <w:b/>
          <w:szCs w:val="24"/>
          <w:lang w:eastAsia="es-CO"/>
        </w:rPr>
      </w:pPr>
    </w:p>
    <w:p w:rsidR="00062E83" w:rsidRPr="00C93CA4" w:rsidRDefault="00062E83" w:rsidP="00D86D1B">
      <w:pPr>
        <w:rPr>
          <w:rFonts w:eastAsia="Times New Roman"/>
          <w:szCs w:val="24"/>
          <w:lang w:eastAsia="es-CO"/>
        </w:rPr>
      </w:pPr>
      <w:r w:rsidRPr="00C93CA4">
        <w:rPr>
          <w:rFonts w:eastAsia="Times New Roman"/>
          <w:szCs w:val="24"/>
          <w:lang w:eastAsia="es-CO"/>
        </w:rPr>
        <w:t xml:space="preserve">En el Oficio 14320 de febrero 26 de 2014, </w:t>
      </w:r>
      <w:r w:rsidR="00C93CA4" w:rsidRPr="00C93CA4">
        <w:rPr>
          <w:rFonts w:eastAsia="Times New Roman"/>
          <w:szCs w:val="24"/>
          <w:lang w:eastAsia="es-CO"/>
        </w:rPr>
        <w:t>la Subdirección de Gestión Normativa y Doctrina no fue cla</w:t>
      </w:r>
      <w:r w:rsidR="00615AED">
        <w:rPr>
          <w:rFonts w:eastAsia="Times New Roman"/>
          <w:szCs w:val="24"/>
          <w:lang w:eastAsia="es-CO"/>
        </w:rPr>
        <w:t>ra en la respuesta a la consulta</w:t>
      </w:r>
      <w:r w:rsidR="00C93CA4" w:rsidRPr="00C93CA4">
        <w:rPr>
          <w:rFonts w:eastAsia="Times New Roman"/>
          <w:szCs w:val="24"/>
          <w:lang w:eastAsia="es-CO"/>
        </w:rPr>
        <w:t xml:space="preserve"> 3.2, en cuanto se preguntaba que hasta tanto fuera reglamentada la obligación de llevar libros de contabilidad para efectos fiscales establecida en el parágrafo del artículo 477 del E.T. ¿Qué libros deben llevarse y que cuál era la División de la Dian competente para registrar dichos libros, en caso de que debieran registrarse ante dicha entidad</w:t>
      </w:r>
      <w:proofErr w:type="gramStart"/>
      <w:r w:rsidR="00C93CA4" w:rsidRPr="00C93CA4">
        <w:rPr>
          <w:rFonts w:eastAsia="Times New Roman"/>
          <w:szCs w:val="24"/>
          <w:lang w:eastAsia="es-CO"/>
        </w:rPr>
        <w:t>?.</w:t>
      </w:r>
      <w:proofErr w:type="gramEnd"/>
      <w:r w:rsidR="00C93CA4" w:rsidRPr="00C93CA4">
        <w:rPr>
          <w:rFonts w:eastAsia="Times New Roman"/>
          <w:szCs w:val="24"/>
          <w:lang w:eastAsia="es-CO"/>
        </w:rPr>
        <w:t xml:space="preserve"> </w:t>
      </w:r>
    </w:p>
    <w:p w:rsidR="00C93CA4" w:rsidRPr="00C93CA4" w:rsidRDefault="00C93CA4" w:rsidP="00D86D1B">
      <w:pPr>
        <w:rPr>
          <w:rFonts w:eastAsia="Times New Roman"/>
          <w:szCs w:val="24"/>
          <w:lang w:eastAsia="es-CO"/>
        </w:rPr>
      </w:pPr>
    </w:p>
    <w:p w:rsidR="00C93CA4" w:rsidRDefault="00C93CA4" w:rsidP="00D86D1B">
      <w:pPr>
        <w:rPr>
          <w:rFonts w:eastAsia="Times New Roman"/>
          <w:b/>
          <w:szCs w:val="24"/>
          <w:lang w:eastAsia="es-CO"/>
        </w:rPr>
      </w:pPr>
      <w:r>
        <w:rPr>
          <w:rFonts w:eastAsia="Times New Roman"/>
          <w:b/>
          <w:szCs w:val="24"/>
          <w:lang w:eastAsia="es-CO"/>
        </w:rPr>
        <w:t xml:space="preserve">PREGUNTA: </w:t>
      </w:r>
    </w:p>
    <w:p w:rsidR="00C93CA4" w:rsidRDefault="00C93CA4" w:rsidP="00D86D1B">
      <w:pPr>
        <w:rPr>
          <w:rFonts w:eastAsia="Times New Roman"/>
          <w:b/>
          <w:szCs w:val="24"/>
          <w:lang w:eastAsia="es-CO"/>
        </w:rPr>
      </w:pPr>
    </w:p>
    <w:p w:rsidR="00C93CA4" w:rsidRDefault="00C93CA4" w:rsidP="00D86D1B">
      <w:pPr>
        <w:rPr>
          <w:rFonts w:eastAsia="Times New Roman"/>
          <w:b/>
          <w:szCs w:val="24"/>
          <w:lang w:eastAsia="es-CO"/>
        </w:rPr>
      </w:pPr>
      <w:r>
        <w:rPr>
          <w:rFonts w:eastAsia="Times New Roman"/>
          <w:b/>
          <w:szCs w:val="24"/>
          <w:lang w:eastAsia="es-CO"/>
        </w:rPr>
        <w:t xml:space="preserve">Solicito nuevamente se me responda con claridad a dicha pregunta, complementada con las siguientes: </w:t>
      </w:r>
    </w:p>
    <w:p w:rsidR="00C93CA4" w:rsidRDefault="00C93CA4" w:rsidP="00D86D1B">
      <w:pPr>
        <w:rPr>
          <w:rFonts w:eastAsia="Times New Roman"/>
          <w:b/>
          <w:szCs w:val="24"/>
          <w:lang w:eastAsia="es-CO"/>
        </w:rPr>
      </w:pPr>
    </w:p>
    <w:p w:rsidR="00C93CA4" w:rsidRDefault="00C93CA4" w:rsidP="00D86D1B">
      <w:pPr>
        <w:rPr>
          <w:rFonts w:eastAsia="Times New Roman"/>
          <w:b/>
          <w:szCs w:val="24"/>
          <w:lang w:eastAsia="es-CO"/>
        </w:rPr>
      </w:pPr>
      <w:r>
        <w:rPr>
          <w:rFonts w:eastAsia="Times New Roman"/>
          <w:b/>
          <w:szCs w:val="24"/>
          <w:lang w:eastAsia="es-CO"/>
        </w:rPr>
        <w:t xml:space="preserve">7.1. </w:t>
      </w:r>
    </w:p>
    <w:p w:rsidR="00830684" w:rsidRDefault="00830684" w:rsidP="00D86D1B">
      <w:pPr>
        <w:rPr>
          <w:rFonts w:eastAsia="Times New Roman"/>
          <w:szCs w:val="24"/>
          <w:lang w:eastAsia="es-CO"/>
        </w:rPr>
      </w:pPr>
    </w:p>
    <w:p w:rsidR="00C93CA4" w:rsidRPr="003F2E32" w:rsidRDefault="009801EF" w:rsidP="00D86D1B">
      <w:pPr>
        <w:rPr>
          <w:rFonts w:eastAsia="Times New Roman"/>
          <w:szCs w:val="24"/>
          <w:lang w:eastAsia="es-CO"/>
        </w:rPr>
      </w:pPr>
      <w:proofErr w:type="gramStart"/>
      <w:r w:rsidRPr="003F2E32">
        <w:rPr>
          <w:rFonts w:eastAsia="Times New Roman"/>
          <w:szCs w:val="24"/>
          <w:lang w:eastAsia="es-CO"/>
        </w:rPr>
        <w:t>¿</w:t>
      </w:r>
      <w:proofErr w:type="gramEnd"/>
      <w:r w:rsidR="00C93CA4" w:rsidRPr="003F2E32">
        <w:rPr>
          <w:rFonts w:eastAsia="Times New Roman"/>
          <w:szCs w:val="24"/>
          <w:lang w:eastAsia="es-CO"/>
        </w:rPr>
        <w:t>Qué clase de cont</w:t>
      </w:r>
      <w:r w:rsidRPr="003F2E32">
        <w:rPr>
          <w:rFonts w:eastAsia="Times New Roman"/>
          <w:szCs w:val="24"/>
          <w:lang w:eastAsia="es-CO"/>
        </w:rPr>
        <w:t>abilidad debe llevarse</w:t>
      </w:r>
      <w:r w:rsidR="00366672">
        <w:rPr>
          <w:rFonts w:eastAsia="Times New Roman"/>
          <w:szCs w:val="24"/>
          <w:lang w:eastAsia="es-CO"/>
        </w:rPr>
        <w:t xml:space="preserve"> hasta tanto sea reglamentada dicha obligación</w:t>
      </w:r>
      <w:r w:rsidRPr="003F2E32">
        <w:rPr>
          <w:rFonts w:eastAsia="Times New Roman"/>
          <w:szCs w:val="24"/>
          <w:lang w:eastAsia="es-CO"/>
        </w:rPr>
        <w:t xml:space="preserve">. Debe llevarse </w:t>
      </w:r>
      <w:r w:rsidR="00C93CA4" w:rsidRPr="003F2E32">
        <w:rPr>
          <w:rFonts w:eastAsia="Times New Roman"/>
          <w:szCs w:val="24"/>
          <w:lang w:eastAsia="es-CO"/>
        </w:rPr>
        <w:t xml:space="preserve"> como se exige para los comerciantes, o sólo un libro de ingresos y egresos y además la cuenta corriente del IVA que exige el artículo </w:t>
      </w:r>
      <w:r w:rsidR="009B7E29" w:rsidRPr="003F2E32">
        <w:rPr>
          <w:rFonts w:eastAsia="Times New Roman"/>
          <w:szCs w:val="24"/>
          <w:lang w:eastAsia="es-CO"/>
        </w:rPr>
        <w:t xml:space="preserve">509 del E.T. </w:t>
      </w:r>
    </w:p>
    <w:p w:rsidR="009B7E29" w:rsidRDefault="009B7E29" w:rsidP="00D86D1B">
      <w:pPr>
        <w:rPr>
          <w:rFonts w:eastAsia="Times New Roman"/>
          <w:b/>
          <w:szCs w:val="24"/>
          <w:lang w:eastAsia="es-CO"/>
        </w:rPr>
      </w:pPr>
    </w:p>
    <w:p w:rsidR="003F2E32" w:rsidRDefault="009B7E29" w:rsidP="00D86D1B">
      <w:pPr>
        <w:rPr>
          <w:rFonts w:eastAsia="Times New Roman"/>
          <w:b/>
          <w:szCs w:val="24"/>
          <w:lang w:eastAsia="es-CO"/>
        </w:rPr>
      </w:pPr>
      <w:proofErr w:type="gramStart"/>
      <w:r>
        <w:rPr>
          <w:rFonts w:eastAsia="Times New Roman"/>
          <w:b/>
          <w:szCs w:val="24"/>
          <w:lang w:eastAsia="es-CO"/>
        </w:rPr>
        <w:t>7.2 .</w:t>
      </w:r>
      <w:proofErr w:type="gramEnd"/>
      <w:r>
        <w:rPr>
          <w:rFonts w:eastAsia="Times New Roman"/>
          <w:b/>
          <w:szCs w:val="24"/>
          <w:lang w:eastAsia="es-CO"/>
        </w:rPr>
        <w:t xml:space="preserve"> </w:t>
      </w:r>
    </w:p>
    <w:p w:rsidR="003F2E32" w:rsidRDefault="003F2E32" w:rsidP="00D86D1B">
      <w:pPr>
        <w:rPr>
          <w:rFonts w:eastAsia="Times New Roman"/>
          <w:b/>
          <w:szCs w:val="24"/>
          <w:lang w:eastAsia="es-CO"/>
        </w:rPr>
      </w:pPr>
    </w:p>
    <w:p w:rsidR="009B7E29" w:rsidRDefault="009B7E29" w:rsidP="00D86D1B">
      <w:pPr>
        <w:rPr>
          <w:rFonts w:eastAsia="Times New Roman"/>
          <w:szCs w:val="24"/>
          <w:lang w:eastAsia="es-CO"/>
        </w:rPr>
      </w:pPr>
      <w:r w:rsidRPr="003F2E32">
        <w:rPr>
          <w:rFonts w:eastAsia="Times New Roman"/>
          <w:szCs w:val="24"/>
          <w:lang w:eastAsia="es-CO"/>
        </w:rPr>
        <w:t xml:space="preserve">Si la respuesta es que hasta </w:t>
      </w:r>
      <w:r w:rsidR="00A020D2">
        <w:rPr>
          <w:rFonts w:eastAsia="Times New Roman"/>
          <w:szCs w:val="24"/>
          <w:lang w:eastAsia="es-CO"/>
        </w:rPr>
        <w:t>la fecha no ha sido reglamentada</w:t>
      </w:r>
      <w:r w:rsidRPr="003F2E32">
        <w:rPr>
          <w:rFonts w:eastAsia="Times New Roman"/>
          <w:szCs w:val="24"/>
          <w:lang w:eastAsia="es-CO"/>
        </w:rPr>
        <w:t xml:space="preserve"> dicha exigencia,</w:t>
      </w:r>
      <w:r w:rsidR="00366672">
        <w:rPr>
          <w:rFonts w:eastAsia="Times New Roman"/>
          <w:szCs w:val="24"/>
          <w:lang w:eastAsia="es-CO"/>
        </w:rPr>
        <w:t xml:space="preserve"> y qu</w:t>
      </w:r>
      <w:r w:rsidR="00A020D2">
        <w:rPr>
          <w:rFonts w:eastAsia="Times New Roman"/>
          <w:szCs w:val="24"/>
          <w:lang w:eastAsia="es-CO"/>
        </w:rPr>
        <w:t>e en consecuencia no se sabe qué</w:t>
      </w:r>
      <w:r w:rsidR="00366672">
        <w:rPr>
          <w:rFonts w:eastAsia="Times New Roman"/>
          <w:szCs w:val="24"/>
          <w:lang w:eastAsia="es-CO"/>
        </w:rPr>
        <w:t xml:space="preserve"> libros deben llevarse, </w:t>
      </w:r>
      <w:r w:rsidRPr="003F2E32">
        <w:rPr>
          <w:rFonts w:eastAsia="Times New Roman"/>
          <w:szCs w:val="24"/>
          <w:lang w:eastAsia="es-CO"/>
        </w:rPr>
        <w:t xml:space="preserve"> entonce</w:t>
      </w:r>
      <w:r w:rsidR="00366672">
        <w:rPr>
          <w:rFonts w:eastAsia="Times New Roman"/>
          <w:szCs w:val="24"/>
          <w:lang w:eastAsia="es-CO"/>
        </w:rPr>
        <w:t xml:space="preserve">s se pregunta para el caso de  </w:t>
      </w:r>
      <w:r w:rsidRPr="003F2E32">
        <w:rPr>
          <w:rFonts w:eastAsia="Times New Roman"/>
          <w:szCs w:val="24"/>
          <w:lang w:eastAsia="es-CO"/>
        </w:rPr>
        <w:t xml:space="preserve"> sol</w:t>
      </w:r>
      <w:r w:rsidR="00366672">
        <w:rPr>
          <w:rFonts w:eastAsia="Times New Roman"/>
          <w:szCs w:val="24"/>
          <w:lang w:eastAsia="es-CO"/>
        </w:rPr>
        <w:t xml:space="preserve">icitud de </w:t>
      </w:r>
      <w:r w:rsidRPr="003F2E32">
        <w:rPr>
          <w:rFonts w:eastAsia="Times New Roman"/>
          <w:szCs w:val="24"/>
          <w:lang w:eastAsia="es-CO"/>
        </w:rPr>
        <w:t xml:space="preserve"> devolución de saldos a favor en el impuesto sobre las ventas, </w:t>
      </w:r>
      <w:r w:rsidR="004A6359" w:rsidRPr="003F2E32">
        <w:rPr>
          <w:rFonts w:eastAsia="Times New Roman"/>
          <w:szCs w:val="24"/>
          <w:lang w:eastAsia="es-CO"/>
        </w:rPr>
        <w:t>con base en qué contabilidad un contador público debe expedir la certificaci</w:t>
      </w:r>
      <w:r w:rsidR="00C0364E">
        <w:rPr>
          <w:rFonts w:eastAsia="Times New Roman"/>
          <w:szCs w:val="24"/>
          <w:lang w:eastAsia="es-CO"/>
        </w:rPr>
        <w:t xml:space="preserve">ón contemplada en el literal a) del artículo 4º del decreto 2277 de 2012, modificado por el artículo 3º del decreto 2877 de diciembre 11 de 2013. </w:t>
      </w:r>
    </w:p>
    <w:p w:rsidR="00366672" w:rsidRDefault="00366672" w:rsidP="00D86D1B">
      <w:pPr>
        <w:rPr>
          <w:rFonts w:eastAsia="Times New Roman"/>
          <w:szCs w:val="24"/>
          <w:lang w:eastAsia="es-CO"/>
        </w:rPr>
      </w:pPr>
    </w:p>
    <w:p w:rsidR="00366672" w:rsidRDefault="00366672" w:rsidP="00D86D1B">
      <w:pPr>
        <w:rPr>
          <w:rFonts w:eastAsia="Times New Roman"/>
          <w:szCs w:val="24"/>
          <w:lang w:eastAsia="es-CO"/>
        </w:rPr>
      </w:pPr>
      <w:r>
        <w:rPr>
          <w:rFonts w:eastAsia="Times New Roman"/>
          <w:szCs w:val="24"/>
          <w:lang w:eastAsia="es-CO"/>
        </w:rPr>
        <w:t xml:space="preserve">7.3 </w:t>
      </w:r>
    </w:p>
    <w:p w:rsidR="004E1E06" w:rsidRDefault="004E1E06" w:rsidP="00D86D1B">
      <w:pPr>
        <w:rPr>
          <w:rFonts w:eastAsia="Times New Roman"/>
          <w:szCs w:val="24"/>
          <w:lang w:eastAsia="es-CO"/>
        </w:rPr>
      </w:pPr>
    </w:p>
    <w:p w:rsidR="004E1E06" w:rsidRDefault="004E1E06" w:rsidP="00D86D1B">
      <w:pPr>
        <w:rPr>
          <w:rFonts w:eastAsia="Times New Roman"/>
          <w:szCs w:val="24"/>
          <w:lang w:eastAsia="es-CO"/>
        </w:rPr>
      </w:pPr>
      <w:r>
        <w:rPr>
          <w:rFonts w:eastAsia="Times New Roman"/>
          <w:szCs w:val="24"/>
          <w:lang w:eastAsia="es-CO"/>
        </w:rPr>
        <w:t xml:space="preserve">La Resolución No. 228 de Octubre 31 de 2013 establece en el artículo 21 la información que deben suministrar en medios magnéticos por el año gravable 2014 las personas o entidades obligadas a llevar contabilidad ya sea por el Código de Comercio o por Legislación Especial, indicando qué </w:t>
      </w:r>
      <w:r w:rsidR="00732E51">
        <w:rPr>
          <w:rFonts w:eastAsia="Times New Roman"/>
          <w:szCs w:val="24"/>
          <w:lang w:eastAsia="es-CO"/>
        </w:rPr>
        <w:t>Superintendencia</w:t>
      </w:r>
      <w:r>
        <w:rPr>
          <w:rFonts w:eastAsia="Times New Roman"/>
          <w:szCs w:val="24"/>
          <w:lang w:eastAsia="es-CO"/>
        </w:rPr>
        <w:t xml:space="preserve"> ejerce vigilancia o control sobre él, el plan único de cuentas que utiliza para registrar s</w:t>
      </w:r>
      <w:r w:rsidR="00830684">
        <w:rPr>
          <w:rFonts w:eastAsia="Times New Roman"/>
          <w:szCs w:val="24"/>
          <w:lang w:eastAsia="es-CO"/>
        </w:rPr>
        <w:t xml:space="preserve">us operaciones y además le requiere </w:t>
      </w:r>
      <w:r>
        <w:rPr>
          <w:rFonts w:eastAsia="Times New Roman"/>
          <w:szCs w:val="24"/>
          <w:lang w:eastAsia="es-CO"/>
        </w:rPr>
        <w:t xml:space="preserve"> enviar por períodos bimestrales</w:t>
      </w:r>
      <w:r w:rsidR="00732E51">
        <w:rPr>
          <w:rFonts w:eastAsia="Times New Roman"/>
          <w:szCs w:val="24"/>
          <w:lang w:eastAsia="es-CO"/>
        </w:rPr>
        <w:t xml:space="preserve"> todas las operaciones económicas registradas </w:t>
      </w:r>
      <w:r w:rsidRPr="004E1E06">
        <w:rPr>
          <w:rFonts w:eastAsia="Times New Roman"/>
          <w:szCs w:val="24"/>
          <w:lang w:eastAsia="es-CO"/>
        </w:rPr>
        <w:t>organizada por cuenta o subcuenta a nivel de cuatro (4) o seis dígitos (6), de acuerdo con la exigencia mínima del Plan Único de Cuenta</w:t>
      </w:r>
      <w:r w:rsidR="00732E51">
        <w:rPr>
          <w:rFonts w:eastAsia="Times New Roman"/>
          <w:szCs w:val="24"/>
          <w:lang w:eastAsia="es-CO"/>
        </w:rPr>
        <w:t>s (PUC) que le corresponda.</w:t>
      </w:r>
    </w:p>
    <w:p w:rsidR="00732E51" w:rsidRDefault="00732E51" w:rsidP="00D86D1B">
      <w:pPr>
        <w:rPr>
          <w:rFonts w:eastAsia="Times New Roman"/>
          <w:szCs w:val="24"/>
          <w:lang w:eastAsia="es-CO"/>
        </w:rPr>
      </w:pPr>
    </w:p>
    <w:p w:rsidR="00732E51" w:rsidRPr="00732E51" w:rsidRDefault="00732E51" w:rsidP="00D86D1B">
      <w:pPr>
        <w:rPr>
          <w:rFonts w:eastAsia="Times New Roman"/>
          <w:b/>
          <w:szCs w:val="24"/>
          <w:lang w:eastAsia="es-CO"/>
        </w:rPr>
      </w:pPr>
      <w:r w:rsidRPr="00732E51">
        <w:rPr>
          <w:rFonts w:eastAsia="Times New Roman"/>
          <w:b/>
          <w:szCs w:val="24"/>
          <w:lang w:eastAsia="es-CO"/>
        </w:rPr>
        <w:t xml:space="preserve">PREGUNTA: </w:t>
      </w:r>
    </w:p>
    <w:p w:rsidR="00732E51" w:rsidRDefault="00732E51" w:rsidP="00D86D1B">
      <w:pPr>
        <w:rPr>
          <w:rFonts w:eastAsia="Times New Roman"/>
          <w:szCs w:val="24"/>
          <w:lang w:eastAsia="es-CO"/>
        </w:rPr>
      </w:pPr>
    </w:p>
    <w:p w:rsidR="00732E51" w:rsidRDefault="00732E51" w:rsidP="00D86D1B">
      <w:pPr>
        <w:rPr>
          <w:rFonts w:eastAsia="Times New Roman"/>
          <w:szCs w:val="24"/>
          <w:lang w:eastAsia="es-CO"/>
        </w:rPr>
      </w:pPr>
      <w:r>
        <w:rPr>
          <w:rFonts w:eastAsia="Times New Roman"/>
          <w:szCs w:val="24"/>
          <w:lang w:eastAsia="es-CO"/>
        </w:rPr>
        <w:t>Si hasta la fecha no se ha establecido qué clase de contabilidad deben llevar los productores del artículo 477 del E.T. , cómo cumplirían  éstos  con  la información que le exige la Resolución No. 228 de Octubre 31 de 2013 respecto del año gravable 2014 en el entendido que ya han transcurrido casi cuatro meses del año corriente y no existe reglamentación respecto a qué</w:t>
      </w:r>
      <w:r w:rsidR="00F911A0">
        <w:rPr>
          <w:rFonts w:eastAsia="Times New Roman"/>
          <w:szCs w:val="24"/>
          <w:lang w:eastAsia="es-CO"/>
        </w:rPr>
        <w:t xml:space="preserve"> plan de cuentas debe utilizar</w:t>
      </w:r>
      <w:proofErr w:type="gramStart"/>
      <w:r w:rsidR="00F911A0">
        <w:rPr>
          <w:rFonts w:eastAsia="Times New Roman"/>
          <w:szCs w:val="24"/>
          <w:lang w:eastAsia="es-CO"/>
        </w:rPr>
        <w:t>?.</w:t>
      </w:r>
      <w:proofErr w:type="gramEnd"/>
    </w:p>
    <w:p w:rsidR="00F911A0" w:rsidRDefault="00F911A0" w:rsidP="00D86D1B">
      <w:pPr>
        <w:rPr>
          <w:rFonts w:eastAsia="Times New Roman"/>
          <w:szCs w:val="24"/>
          <w:lang w:eastAsia="es-CO"/>
        </w:rPr>
      </w:pPr>
    </w:p>
    <w:p w:rsidR="00F911A0" w:rsidRPr="00A148CE" w:rsidRDefault="00F911A0" w:rsidP="00D86D1B">
      <w:pPr>
        <w:rPr>
          <w:rFonts w:eastAsia="Times New Roman"/>
          <w:b/>
          <w:szCs w:val="24"/>
          <w:lang w:eastAsia="es-CO"/>
        </w:rPr>
      </w:pPr>
      <w:r w:rsidRPr="00A148CE">
        <w:rPr>
          <w:rFonts w:eastAsia="Times New Roman"/>
          <w:b/>
          <w:szCs w:val="24"/>
          <w:lang w:eastAsia="es-CO"/>
        </w:rPr>
        <w:lastRenderedPageBreak/>
        <w:t xml:space="preserve">OCTAVA: </w:t>
      </w:r>
    </w:p>
    <w:p w:rsidR="00F911A0" w:rsidRDefault="00F911A0" w:rsidP="00D86D1B">
      <w:pPr>
        <w:rPr>
          <w:rFonts w:eastAsia="Times New Roman"/>
          <w:szCs w:val="24"/>
          <w:lang w:eastAsia="es-CO"/>
        </w:rPr>
      </w:pPr>
    </w:p>
    <w:p w:rsidR="00F911A0" w:rsidRDefault="00F911A0" w:rsidP="00D86D1B">
      <w:pPr>
        <w:rPr>
          <w:rFonts w:eastAsia="Times New Roman"/>
          <w:szCs w:val="24"/>
          <w:lang w:eastAsia="es-CO"/>
        </w:rPr>
      </w:pPr>
      <w:r>
        <w:rPr>
          <w:rFonts w:eastAsia="Times New Roman"/>
          <w:szCs w:val="24"/>
          <w:lang w:eastAsia="es-CO"/>
        </w:rPr>
        <w:t xml:space="preserve">La Subdirección de Gestión Normativa y Doctrina en </w:t>
      </w:r>
      <w:r w:rsidR="00363C9F">
        <w:rPr>
          <w:rFonts w:eastAsia="Times New Roman"/>
          <w:szCs w:val="24"/>
          <w:lang w:eastAsia="es-CO"/>
        </w:rPr>
        <w:t xml:space="preserve">el Oficio No. 001114 de enero 13 de 2014, acepta que la devolución del </w:t>
      </w:r>
      <w:proofErr w:type="spellStart"/>
      <w:r w:rsidR="00363C9F">
        <w:rPr>
          <w:rFonts w:eastAsia="Times New Roman"/>
          <w:szCs w:val="24"/>
          <w:lang w:eastAsia="es-CO"/>
        </w:rPr>
        <w:t>iva</w:t>
      </w:r>
      <w:proofErr w:type="spellEnd"/>
      <w:r w:rsidR="00363C9F">
        <w:rPr>
          <w:rFonts w:eastAsia="Times New Roman"/>
          <w:szCs w:val="24"/>
          <w:lang w:eastAsia="es-CO"/>
        </w:rPr>
        <w:t xml:space="preserve"> a los productores de ganado bovino no está condicionada a la venta del animal. </w:t>
      </w:r>
    </w:p>
    <w:p w:rsidR="00363C9F" w:rsidRDefault="00363C9F" w:rsidP="00D86D1B">
      <w:pPr>
        <w:rPr>
          <w:rFonts w:eastAsia="Times New Roman"/>
          <w:szCs w:val="24"/>
          <w:lang w:eastAsia="es-CO"/>
        </w:rPr>
      </w:pPr>
    </w:p>
    <w:p w:rsidR="00363C9F" w:rsidRDefault="00363C9F" w:rsidP="00D86D1B">
      <w:pPr>
        <w:rPr>
          <w:rFonts w:eastAsia="Times New Roman"/>
          <w:szCs w:val="24"/>
          <w:lang w:eastAsia="es-CO"/>
        </w:rPr>
      </w:pPr>
      <w:r>
        <w:rPr>
          <w:rFonts w:eastAsia="Times New Roman"/>
          <w:szCs w:val="24"/>
          <w:lang w:eastAsia="es-CO"/>
        </w:rPr>
        <w:t xml:space="preserve">En respuesta a consulta No. 5 respondió: </w:t>
      </w:r>
    </w:p>
    <w:p w:rsidR="00363C9F" w:rsidRDefault="00363C9F" w:rsidP="00D86D1B">
      <w:pPr>
        <w:rPr>
          <w:rFonts w:eastAsia="Times New Roman"/>
          <w:szCs w:val="24"/>
          <w:lang w:eastAsia="es-CO"/>
        </w:rPr>
      </w:pPr>
    </w:p>
    <w:p w:rsidR="00363C9F" w:rsidRDefault="00363C9F" w:rsidP="00D86D1B">
      <w:pPr>
        <w:ind w:left="567" w:right="567"/>
        <w:rPr>
          <w:rFonts w:eastAsia="Times New Roman"/>
          <w:szCs w:val="24"/>
          <w:lang w:eastAsia="es-CO"/>
        </w:rPr>
      </w:pPr>
      <w:r>
        <w:rPr>
          <w:rFonts w:eastAsia="Times New Roman"/>
          <w:szCs w:val="24"/>
          <w:lang w:eastAsia="es-CO"/>
        </w:rPr>
        <w:t>“……</w:t>
      </w:r>
    </w:p>
    <w:p w:rsidR="00363C9F" w:rsidRDefault="00363C9F" w:rsidP="00D86D1B">
      <w:pPr>
        <w:ind w:left="567" w:right="567"/>
        <w:rPr>
          <w:rFonts w:eastAsia="Times New Roman"/>
          <w:b/>
          <w:i/>
          <w:iCs/>
          <w:szCs w:val="24"/>
          <w:lang w:eastAsia="es-CO"/>
        </w:rPr>
      </w:pPr>
      <w:r w:rsidRPr="00A418B5">
        <w:rPr>
          <w:rFonts w:eastAsia="Times New Roman"/>
          <w:szCs w:val="24"/>
          <w:lang w:eastAsia="es-CO"/>
        </w:rPr>
        <w:t>Así las cosas, la devolución bimestral de los impuestos descontables, cancelados por los bienes y servicios gravados que constituyen costo o gasto para la producción y comercialización de ganado bovino (excepto los de lidia),</w:t>
      </w:r>
      <w:r w:rsidRPr="00A418B5">
        <w:rPr>
          <w:rFonts w:eastAsia="Times New Roman"/>
          <w:szCs w:val="24"/>
          <w:u w:val="single"/>
          <w:lang w:eastAsia="es-CO"/>
        </w:rPr>
        <w:t xml:space="preserve"> </w:t>
      </w:r>
      <w:r w:rsidRPr="00A418B5">
        <w:rPr>
          <w:rFonts w:eastAsia="Times New Roman"/>
          <w:b/>
          <w:szCs w:val="24"/>
          <w:u w:val="single"/>
          <w:lang w:eastAsia="es-CO"/>
        </w:rPr>
        <w:t>no está condicionada a la venta del semoviente</w:t>
      </w:r>
      <w:r w:rsidRPr="00A418B5">
        <w:rPr>
          <w:rFonts w:eastAsia="Times New Roman"/>
          <w:b/>
          <w:szCs w:val="24"/>
          <w:lang w:eastAsia="es-CO"/>
        </w:rPr>
        <w:t>, siempre y cuando quien la pretenda sea un productor del mismo en los términos del literal g) del </w:t>
      </w:r>
      <w:hyperlink r:id="rId11" w:tooltip="Estatuto Tributario CETA" w:history="1">
        <w:r w:rsidRPr="00A418B5">
          <w:rPr>
            <w:rFonts w:eastAsia="Times New Roman"/>
            <w:b/>
            <w:szCs w:val="24"/>
            <w:lang w:eastAsia="es-CO"/>
          </w:rPr>
          <w:t>artículo 481</w:t>
        </w:r>
      </w:hyperlink>
      <w:r w:rsidRPr="00A418B5">
        <w:rPr>
          <w:rFonts w:eastAsia="Times New Roman"/>
          <w:b/>
          <w:szCs w:val="24"/>
          <w:lang w:eastAsia="es-CO"/>
        </w:rPr>
        <w:t> del Estatuto Tributario y la solicite en las oportunidades previstas por el artículo 496 </w:t>
      </w:r>
      <w:r w:rsidRPr="00A418B5">
        <w:rPr>
          <w:rFonts w:eastAsia="Times New Roman"/>
          <w:b/>
          <w:i/>
          <w:iCs/>
          <w:szCs w:val="24"/>
          <w:lang w:eastAsia="es-CO"/>
        </w:rPr>
        <w:t>ibídem</w:t>
      </w:r>
      <w:r w:rsidRPr="00363C9F">
        <w:rPr>
          <w:rFonts w:eastAsia="Times New Roman"/>
          <w:b/>
          <w:i/>
          <w:iCs/>
          <w:szCs w:val="24"/>
          <w:lang w:eastAsia="es-CO"/>
        </w:rPr>
        <w:t>.”</w:t>
      </w:r>
    </w:p>
    <w:p w:rsidR="00363C9F" w:rsidRDefault="00363C9F" w:rsidP="00D86D1B">
      <w:pPr>
        <w:ind w:left="567" w:right="567"/>
        <w:rPr>
          <w:rFonts w:eastAsia="Times New Roman"/>
          <w:iCs/>
          <w:szCs w:val="24"/>
          <w:lang w:eastAsia="es-CO"/>
        </w:rPr>
      </w:pPr>
      <w:r>
        <w:rPr>
          <w:rFonts w:eastAsia="Times New Roman"/>
          <w:iCs/>
          <w:szCs w:val="24"/>
          <w:lang w:eastAsia="es-CO"/>
        </w:rPr>
        <w:t>(Negrilla y subrayas fuera de texto).</w:t>
      </w:r>
    </w:p>
    <w:p w:rsidR="00363C9F" w:rsidRDefault="00363C9F" w:rsidP="00D86D1B">
      <w:pPr>
        <w:ind w:right="567"/>
        <w:rPr>
          <w:rFonts w:eastAsia="Times New Roman"/>
          <w:iCs/>
          <w:szCs w:val="24"/>
          <w:lang w:eastAsia="es-CO"/>
        </w:rPr>
      </w:pPr>
    </w:p>
    <w:p w:rsidR="00363C9F" w:rsidRDefault="00363C9F" w:rsidP="00D86D1B">
      <w:pPr>
        <w:rPr>
          <w:rFonts w:eastAsia="Times New Roman"/>
          <w:iCs/>
          <w:szCs w:val="24"/>
          <w:lang w:eastAsia="es-CO"/>
        </w:rPr>
      </w:pPr>
      <w:r>
        <w:rPr>
          <w:rFonts w:eastAsia="Times New Roman"/>
          <w:iCs/>
          <w:szCs w:val="24"/>
          <w:lang w:eastAsia="es-CO"/>
        </w:rPr>
        <w:t>Por su pa</w:t>
      </w:r>
      <w:r w:rsidR="00A148CE">
        <w:rPr>
          <w:rFonts w:eastAsia="Times New Roman"/>
          <w:iCs/>
          <w:szCs w:val="24"/>
          <w:lang w:eastAsia="es-CO"/>
        </w:rPr>
        <w:t>rte, el decreto 2877</w:t>
      </w:r>
      <w:r w:rsidR="002F5C9F">
        <w:rPr>
          <w:rFonts w:eastAsia="Times New Roman"/>
          <w:iCs/>
          <w:szCs w:val="24"/>
          <w:lang w:eastAsia="es-CO"/>
        </w:rPr>
        <w:t xml:space="preserve"> de diciembre 11 de 2013 </w:t>
      </w:r>
      <w:r w:rsidR="00A148CE">
        <w:rPr>
          <w:rFonts w:eastAsia="Times New Roman"/>
          <w:iCs/>
          <w:szCs w:val="24"/>
          <w:lang w:eastAsia="es-CO"/>
        </w:rPr>
        <w:t xml:space="preserve"> en su artículo 4º que modificó el artículo 5º del decreto 2277 de 2012 señala los siguientes requisitos para efectos de la devolución: </w:t>
      </w:r>
    </w:p>
    <w:p w:rsidR="00A148CE" w:rsidRDefault="00A148CE" w:rsidP="00D86D1B">
      <w:pPr>
        <w:rPr>
          <w:rFonts w:eastAsia="Times New Roman"/>
          <w:iCs/>
          <w:szCs w:val="24"/>
          <w:lang w:eastAsia="es-CO"/>
        </w:rPr>
      </w:pPr>
    </w:p>
    <w:p w:rsidR="00A148CE" w:rsidRDefault="00A148CE" w:rsidP="00D86D1B">
      <w:pPr>
        <w:ind w:left="567" w:right="567"/>
        <w:rPr>
          <w:rFonts w:eastAsia="Times New Roman"/>
          <w:b/>
          <w:bCs/>
          <w:szCs w:val="24"/>
          <w:lang w:eastAsia="es-CO"/>
        </w:rPr>
      </w:pPr>
      <w:r>
        <w:rPr>
          <w:rFonts w:eastAsia="Times New Roman"/>
          <w:b/>
          <w:bCs/>
          <w:szCs w:val="24"/>
          <w:lang w:eastAsia="es-CO"/>
        </w:rPr>
        <w:t>“…………</w:t>
      </w:r>
    </w:p>
    <w:p w:rsidR="00A148CE" w:rsidRDefault="00A148CE" w:rsidP="00D86D1B">
      <w:pPr>
        <w:ind w:left="567" w:right="567"/>
        <w:rPr>
          <w:rFonts w:eastAsia="Times New Roman"/>
          <w:b/>
          <w:bCs/>
          <w:szCs w:val="24"/>
          <w:lang w:eastAsia="es-CO"/>
        </w:rPr>
      </w:pPr>
    </w:p>
    <w:p w:rsidR="00A148CE" w:rsidRPr="00A148CE" w:rsidRDefault="00A148CE" w:rsidP="00D86D1B">
      <w:pPr>
        <w:ind w:left="567" w:right="567"/>
        <w:rPr>
          <w:rFonts w:eastAsia="Times New Roman"/>
          <w:szCs w:val="24"/>
          <w:lang w:eastAsia="es-CO"/>
        </w:rPr>
      </w:pPr>
      <w:r w:rsidRPr="00A148CE">
        <w:rPr>
          <w:rFonts w:eastAsia="Times New Roman"/>
          <w:b/>
          <w:bCs/>
          <w:szCs w:val="24"/>
          <w:u w:val="single"/>
          <w:lang w:eastAsia="es-CO"/>
        </w:rPr>
        <w:t>Comercializador de animales vivos de la especie bovina</w:t>
      </w:r>
      <w:r w:rsidRPr="00A148CE">
        <w:rPr>
          <w:rFonts w:eastAsia="Times New Roman"/>
          <w:b/>
          <w:bCs/>
          <w:szCs w:val="24"/>
          <w:lang w:eastAsia="es-CO"/>
        </w:rPr>
        <w:t>, excepto los de lidia de la partida arancelaria 01.02</w:t>
      </w:r>
    </w:p>
    <w:p w:rsidR="00A148CE" w:rsidRPr="00A148CE" w:rsidRDefault="00A148CE" w:rsidP="00D86D1B">
      <w:pPr>
        <w:ind w:left="567" w:right="567"/>
        <w:rPr>
          <w:rFonts w:eastAsia="Times New Roman"/>
          <w:szCs w:val="24"/>
          <w:lang w:eastAsia="es-CO"/>
        </w:rPr>
      </w:pPr>
      <w:r w:rsidRPr="00A148CE">
        <w:rPr>
          <w:rFonts w:eastAsia="Times New Roman"/>
          <w:szCs w:val="24"/>
          <w:lang w:eastAsia="es-CO"/>
        </w:rPr>
        <w:t> </w:t>
      </w:r>
    </w:p>
    <w:p w:rsidR="00A148CE" w:rsidRPr="00A148CE" w:rsidRDefault="00A148CE" w:rsidP="00D86D1B">
      <w:pPr>
        <w:ind w:left="567" w:right="567"/>
        <w:rPr>
          <w:rFonts w:eastAsia="Times New Roman"/>
          <w:szCs w:val="24"/>
          <w:lang w:eastAsia="es-CO"/>
        </w:rPr>
      </w:pPr>
      <w:r w:rsidRPr="00A148CE">
        <w:rPr>
          <w:rFonts w:eastAsia="Times New Roman"/>
          <w:szCs w:val="24"/>
          <w:lang w:eastAsia="es-CO"/>
        </w:rPr>
        <w:t>1. Relación certificada por contador público o revisor fiscal, según el caso, en la cual se indique lo siguiente:</w:t>
      </w:r>
    </w:p>
    <w:p w:rsidR="00A148CE" w:rsidRPr="00A148CE" w:rsidRDefault="00A148CE" w:rsidP="00D86D1B">
      <w:pPr>
        <w:ind w:left="567" w:right="567"/>
        <w:rPr>
          <w:rFonts w:eastAsia="Times New Roman"/>
          <w:szCs w:val="24"/>
          <w:lang w:eastAsia="es-CO"/>
        </w:rPr>
      </w:pPr>
      <w:r w:rsidRPr="00A148CE">
        <w:rPr>
          <w:rFonts w:eastAsia="Times New Roman"/>
          <w:szCs w:val="24"/>
          <w:lang w:eastAsia="es-CO"/>
        </w:rPr>
        <w:t> </w:t>
      </w:r>
    </w:p>
    <w:p w:rsidR="00A148CE" w:rsidRPr="00A148CE" w:rsidRDefault="00A148CE" w:rsidP="00D86D1B">
      <w:pPr>
        <w:ind w:left="567" w:right="567"/>
        <w:rPr>
          <w:rFonts w:eastAsia="Times New Roman"/>
          <w:b/>
          <w:szCs w:val="24"/>
          <w:lang w:eastAsia="es-CO"/>
        </w:rPr>
      </w:pPr>
      <w:r w:rsidRPr="00A148CE">
        <w:rPr>
          <w:rFonts w:eastAsia="Times New Roman"/>
          <w:b/>
          <w:szCs w:val="24"/>
          <w:lang w:eastAsia="es-CO"/>
        </w:rPr>
        <w:t>a) Número de animales comercializados y su valor comercial en plaza unitario por cabeza de ganado.</w:t>
      </w:r>
    </w:p>
    <w:p w:rsidR="00A148CE" w:rsidRPr="00A148CE" w:rsidRDefault="00A148CE" w:rsidP="00D86D1B">
      <w:pPr>
        <w:ind w:left="567" w:right="567"/>
        <w:rPr>
          <w:rFonts w:eastAsia="Times New Roman"/>
          <w:szCs w:val="24"/>
          <w:lang w:eastAsia="es-CO"/>
        </w:rPr>
      </w:pPr>
    </w:p>
    <w:p w:rsidR="00A148CE" w:rsidRPr="00A148CE" w:rsidRDefault="00A148CE" w:rsidP="00D86D1B">
      <w:pPr>
        <w:ind w:left="567" w:right="567"/>
        <w:rPr>
          <w:rFonts w:eastAsia="Times New Roman"/>
          <w:szCs w:val="24"/>
          <w:lang w:eastAsia="es-CO"/>
        </w:rPr>
      </w:pPr>
      <w:r w:rsidRPr="00A148CE">
        <w:rPr>
          <w:rFonts w:eastAsia="Times New Roman"/>
          <w:szCs w:val="24"/>
          <w:lang w:eastAsia="es-CO"/>
        </w:rPr>
        <w:t>b) Relación de las facturas o documento equivalente de compra de bienes y/o de servicios gravados utilizados por el comercializador, indicando: nombre o razón social, NIT y dirección del proveedor, número y fecha de la expedición de la factura y de la contabilización, base gravable y tarifa del IVA a la que estuvo sujeta la operación.</w:t>
      </w:r>
    </w:p>
    <w:p w:rsidR="00A148CE" w:rsidRPr="00A148CE" w:rsidRDefault="00A148CE" w:rsidP="00D86D1B">
      <w:pPr>
        <w:ind w:left="567" w:right="567"/>
        <w:rPr>
          <w:rFonts w:eastAsia="Times New Roman"/>
          <w:szCs w:val="24"/>
          <w:lang w:eastAsia="es-CO"/>
        </w:rPr>
      </w:pPr>
    </w:p>
    <w:p w:rsidR="00A148CE" w:rsidRPr="00A148CE" w:rsidRDefault="00A148CE" w:rsidP="00D86D1B">
      <w:pPr>
        <w:ind w:left="567" w:right="567"/>
        <w:rPr>
          <w:rFonts w:eastAsia="Times New Roman"/>
          <w:b/>
          <w:szCs w:val="24"/>
          <w:lang w:eastAsia="es-CO"/>
        </w:rPr>
      </w:pPr>
      <w:r w:rsidRPr="00A148CE">
        <w:rPr>
          <w:rFonts w:eastAsia="Times New Roman"/>
          <w:b/>
          <w:szCs w:val="24"/>
          <w:lang w:eastAsia="es-CO"/>
        </w:rPr>
        <w:t>c) Relación discriminada de ingresos por las ventas exentas, excluidas y gravadas según tarifas, realizadas por el responsable.”</w:t>
      </w:r>
    </w:p>
    <w:p w:rsidR="00A148CE" w:rsidRPr="00A148CE" w:rsidRDefault="00A148CE" w:rsidP="00D86D1B">
      <w:pPr>
        <w:ind w:left="567" w:right="567"/>
        <w:rPr>
          <w:rFonts w:eastAsia="Times New Roman"/>
          <w:b/>
          <w:szCs w:val="24"/>
          <w:lang w:eastAsia="es-CO"/>
        </w:rPr>
      </w:pPr>
    </w:p>
    <w:p w:rsidR="00A148CE" w:rsidRPr="00A148CE" w:rsidRDefault="00A148CE" w:rsidP="00D86D1B">
      <w:pPr>
        <w:ind w:left="567" w:right="567"/>
        <w:rPr>
          <w:rFonts w:eastAsia="Times New Roman"/>
          <w:szCs w:val="24"/>
          <w:lang w:eastAsia="es-CO"/>
        </w:rPr>
      </w:pPr>
      <w:r w:rsidRPr="00A148CE">
        <w:rPr>
          <w:rFonts w:eastAsia="Times New Roman"/>
          <w:szCs w:val="24"/>
          <w:lang w:eastAsia="es-CO"/>
        </w:rPr>
        <w:t>d) Relación discriminada de proveedores por compras con personas pertenecientes al régimen simplificado y cuyo Impuesto sobre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A148CE" w:rsidRPr="00A148CE" w:rsidRDefault="00A148CE" w:rsidP="00D86D1B">
      <w:pPr>
        <w:ind w:left="567" w:right="567"/>
        <w:rPr>
          <w:rFonts w:eastAsia="Times New Roman"/>
          <w:szCs w:val="24"/>
          <w:lang w:eastAsia="es-CO"/>
        </w:rPr>
      </w:pPr>
      <w:r w:rsidRPr="00A148CE">
        <w:rPr>
          <w:rFonts w:eastAsia="Times New Roman"/>
          <w:szCs w:val="24"/>
          <w:lang w:eastAsia="es-CO"/>
        </w:rPr>
        <w:t> </w:t>
      </w:r>
    </w:p>
    <w:p w:rsidR="00A148CE" w:rsidRDefault="00A148CE" w:rsidP="00D86D1B">
      <w:pPr>
        <w:ind w:left="567" w:right="567"/>
        <w:rPr>
          <w:rFonts w:eastAsia="Times New Roman"/>
          <w:b/>
          <w:szCs w:val="24"/>
          <w:lang w:eastAsia="es-CO"/>
        </w:rPr>
      </w:pPr>
      <w:r w:rsidRPr="00A148CE">
        <w:rPr>
          <w:rFonts w:eastAsia="Times New Roman"/>
          <w:b/>
          <w:szCs w:val="24"/>
          <w:lang w:eastAsia="es-CO"/>
        </w:rPr>
        <w:t>2. Relación de las guías sanitarias de movilización interna de animales, expedida por el ICA o quien haga sus veces, la cual debe contener: número de identificación, apellidos y nombres o razón social de quien la expide, número de la guía, fecha, departa</w:t>
      </w:r>
      <w:r>
        <w:rPr>
          <w:rFonts w:eastAsia="Times New Roman"/>
          <w:b/>
          <w:szCs w:val="24"/>
          <w:lang w:eastAsia="es-CO"/>
        </w:rPr>
        <w:t xml:space="preserve">mento y municipio de expedición.” </w:t>
      </w:r>
    </w:p>
    <w:p w:rsidR="00A148CE" w:rsidRDefault="00A148CE" w:rsidP="00D86D1B">
      <w:pPr>
        <w:ind w:left="567" w:right="567"/>
        <w:rPr>
          <w:rFonts w:eastAsia="Times New Roman"/>
          <w:b/>
          <w:szCs w:val="24"/>
          <w:lang w:eastAsia="es-CO"/>
        </w:rPr>
      </w:pPr>
    </w:p>
    <w:p w:rsidR="00A148CE" w:rsidRDefault="00A148CE" w:rsidP="00D86D1B">
      <w:pPr>
        <w:ind w:right="567"/>
        <w:rPr>
          <w:rFonts w:eastAsia="Times New Roman"/>
          <w:b/>
          <w:szCs w:val="24"/>
          <w:lang w:eastAsia="es-CO"/>
        </w:rPr>
      </w:pPr>
      <w:r>
        <w:rPr>
          <w:rFonts w:eastAsia="Times New Roman"/>
          <w:b/>
          <w:szCs w:val="24"/>
          <w:lang w:eastAsia="es-CO"/>
        </w:rPr>
        <w:t xml:space="preserve">         /La negrilla v subraya  fuera de texto). </w:t>
      </w:r>
    </w:p>
    <w:p w:rsidR="00A148CE" w:rsidRDefault="00A148CE" w:rsidP="00D86D1B">
      <w:pPr>
        <w:ind w:right="567"/>
        <w:rPr>
          <w:rFonts w:eastAsia="Times New Roman"/>
          <w:b/>
          <w:szCs w:val="24"/>
          <w:lang w:eastAsia="es-CO"/>
        </w:rPr>
      </w:pPr>
    </w:p>
    <w:p w:rsidR="00A148CE" w:rsidRDefault="00A148CE" w:rsidP="00D86D1B">
      <w:pPr>
        <w:ind w:right="567"/>
        <w:rPr>
          <w:rFonts w:eastAsia="Times New Roman"/>
          <w:b/>
          <w:szCs w:val="24"/>
          <w:lang w:eastAsia="es-CO"/>
        </w:rPr>
      </w:pPr>
    </w:p>
    <w:p w:rsidR="00A148CE" w:rsidRDefault="00A148CE" w:rsidP="00D86D1B">
      <w:pPr>
        <w:rPr>
          <w:rFonts w:eastAsia="Times New Roman"/>
          <w:b/>
          <w:szCs w:val="24"/>
          <w:lang w:eastAsia="es-CO"/>
        </w:rPr>
      </w:pPr>
      <w:r>
        <w:rPr>
          <w:rFonts w:eastAsia="Times New Roman"/>
          <w:b/>
          <w:szCs w:val="24"/>
          <w:lang w:eastAsia="es-CO"/>
        </w:rPr>
        <w:t xml:space="preserve">PREGUNTAS: </w:t>
      </w:r>
    </w:p>
    <w:p w:rsidR="00A148CE" w:rsidRDefault="00A148CE" w:rsidP="00D86D1B">
      <w:pPr>
        <w:rPr>
          <w:rFonts w:eastAsia="Times New Roman"/>
          <w:b/>
          <w:szCs w:val="24"/>
          <w:lang w:eastAsia="es-CO"/>
        </w:rPr>
      </w:pPr>
    </w:p>
    <w:p w:rsidR="00A148CE" w:rsidRDefault="00A148CE" w:rsidP="00D86D1B">
      <w:pPr>
        <w:rPr>
          <w:rFonts w:eastAsia="Times New Roman"/>
          <w:szCs w:val="24"/>
          <w:lang w:eastAsia="es-CO"/>
        </w:rPr>
      </w:pPr>
      <w:r>
        <w:rPr>
          <w:rFonts w:eastAsia="Times New Roman"/>
          <w:b/>
          <w:szCs w:val="24"/>
          <w:lang w:eastAsia="es-CO"/>
        </w:rPr>
        <w:t xml:space="preserve">8.1.  </w:t>
      </w:r>
      <w:r w:rsidR="00D86D1B">
        <w:rPr>
          <w:rFonts w:eastAsia="Times New Roman"/>
          <w:b/>
          <w:szCs w:val="24"/>
          <w:lang w:eastAsia="es-CO"/>
        </w:rPr>
        <w:t>¿</w:t>
      </w:r>
      <w:r>
        <w:rPr>
          <w:rFonts w:eastAsia="Times New Roman"/>
          <w:b/>
          <w:szCs w:val="24"/>
          <w:lang w:eastAsia="es-CO"/>
        </w:rPr>
        <w:t>Por qué el decreto utilizó la frase “</w:t>
      </w:r>
      <w:r w:rsidRPr="00A148CE">
        <w:rPr>
          <w:rFonts w:eastAsia="Times New Roman"/>
          <w:b/>
          <w:i/>
          <w:szCs w:val="24"/>
          <w:lang w:eastAsia="es-CO"/>
        </w:rPr>
        <w:t>Comercializador de animales vivos</w:t>
      </w:r>
      <w:r>
        <w:rPr>
          <w:rFonts w:eastAsia="Times New Roman"/>
          <w:b/>
          <w:i/>
          <w:szCs w:val="24"/>
          <w:lang w:eastAsia="es-CO"/>
        </w:rPr>
        <w:t xml:space="preserve"> de la especie bovina</w:t>
      </w:r>
      <w:proofErr w:type="gramStart"/>
      <w:r>
        <w:rPr>
          <w:rFonts w:eastAsia="Times New Roman"/>
          <w:b/>
          <w:i/>
          <w:szCs w:val="24"/>
          <w:lang w:eastAsia="es-CO"/>
        </w:rPr>
        <w:t>..</w:t>
      </w:r>
      <w:r w:rsidRPr="00A148CE">
        <w:rPr>
          <w:rFonts w:eastAsia="Times New Roman"/>
          <w:b/>
          <w:i/>
          <w:szCs w:val="24"/>
          <w:lang w:eastAsia="es-CO"/>
        </w:rPr>
        <w:t>”</w:t>
      </w:r>
      <w:proofErr w:type="gramEnd"/>
      <w:r>
        <w:rPr>
          <w:rFonts w:eastAsia="Times New Roman"/>
          <w:b/>
          <w:i/>
          <w:szCs w:val="24"/>
          <w:lang w:eastAsia="es-CO"/>
        </w:rPr>
        <w:t xml:space="preserve">, </w:t>
      </w:r>
      <w:r w:rsidR="002F5C9F">
        <w:rPr>
          <w:rFonts w:eastAsia="Times New Roman"/>
          <w:szCs w:val="24"/>
          <w:lang w:eastAsia="es-CO"/>
        </w:rPr>
        <w:t xml:space="preserve">en </w:t>
      </w:r>
      <w:r>
        <w:rPr>
          <w:rFonts w:eastAsia="Times New Roman"/>
          <w:szCs w:val="24"/>
          <w:lang w:eastAsia="es-CO"/>
        </w:rPr>
        <w:t xml:space="preserve"> el entendido de que la comercialización de animales está excluida del impuesto a las ventas según lo señala el numeral 9 del artículo 476 del Estatuto Tributario. Debe entenderse dicha frase en el contexto de que quien lo comercialice sea el productor del ganado</w:t>
      </w:r>
      <w:proofErr w:type="gramStart"/>
      <w:r>
        <w:rPr>
          <w:rFonts w:eastAsia="Times New Roman"/>
          <w:szCs w:val="24"/>
          <w:lang w:eastAsia="es-CO"/>
        </w:rPr>
        <w:t>?.</w:t>
      </w:r>
      <w:proofErr w:type="gramEnd"/>
    </w:p>
    <w:p w:rsidR="00A148CE" w:rsidRDefault="00A148CE" w:rsidP="00D86D1B">
      <w:pPr>
        <w:rPr>
          <w:rFonts w:eastAsia="Times New Roman"/>
          <w:szCs w:val="24"/>
          <w:lang w:eastAsia="es-CO"/>
        </w:rPr>
      </w:pPr>
    </w:p>
    <w:p w:rsidR="00D86D1B" w:rsidRDefault="00A148CE" w:rsidP="00D86D1B">
      <w:pPr>
        <w:rPr>
          <w:rFonts w:eastAsia="Times New Roman"/>
          <w:szCs w:val="24"/>
          <w:lang w:eastAsia="es-CO"/>
        </w:rPr>
      </w:pPr>
      <w:r w:rsidRPr="00F119E2">
        <w:rPr>
          <w:rFonts w:eastAsia="Times New Roman"/>
          <w:b/>
          <w:szCs w:val="24"/>
          <w:lang w:eastAsia="es-CO"/>
        </w:rPr>
        <w:t>8.2.</w:t>
      </w:r>
      <w:r>
        <w:rPr>
          <w:rFonts w:eastAsia="Times New Roman"/>
          <w:szCs w:val="24"/>
          <w:lang w:eastAsia="es-CO"/>
        </w:rPr>
        <w:t xml:space="preserve"> </w:t>
      </w:r>
      <w:r w:rsidR="00D86D1B">
        <w:rPr>
          <w:rFonts w:eastAsia="Times New Roman"/>
          <w:szCs w:val="24"/>
          <w:lang w:eastAsia="es-CO"/>
        </w:rPr>
        <w:t xml:space="preserve"> ¿</w:t>
      </w:r>
      <w:r>
        <w:rPr>
          <w:rFonts w:eastAsia="Times New Roman"/>
          <w:szCs w:val="24"/>
          <w:lang w:eastAsia="es-CO"/>
        </w:rPr>
        <w:t xml:space="preserve">Para efectos de la </w:t>
      </w:r>
      <w:r w:rsidRPr="00A148CE">
        <w:rPr>
          <w:rFonts w:eastAsia="Times New Roman"/>
          <w:b/>
          <w:i/>
          <w:szCs w:val="24"/>
          <w:lang w:eastAsia="es-CO"/>
        </w:rPr>
        <w:t>“comercialización de animales vivos de la especie bovina”</w:t>
      </w:r>
      <w:r>
        <w:rPr>
          <w:rFonts w:eastAsia="Times New Roman"/>
          <w:b/>
          <w:i/>
          <w:szCs w:val="24"/>
          <w:lang w:eastAsia="es-CO"/>
        </w:rPr>
        <w:t xml:space="preserve">, </w:t>
      </w:r>
      <w:r w:rsidRPr="00D86D1B">
        <w:rPr>
          <w:rFonts w:eastAsia="Times New Roman"/>
          <w:szCs w:val="24"/>
          <w:lang w:eastAsia="es-CO"/>
        </w:rPr>
        <w:t>aplica el</w:t>
      </w:r>
      <w:r w:rsidR="00D86D1B">
        <w:rPr>
          <w:rFonts w:eastAsia="Times New Roman"/>
          <w:szCs w:val="24"/>
          <w:lang w:eastAsia="es-CO"/>
        </w:rPr>
        <w:t xml:space="preserve"> </w:t>
      </w:r>
      <w:r w:rsidRPr="00D86D1B">
        <w:rPr>
          <w:rFonts w:eastAsia="Times New Roman"/>
          <w:szCs w:val="24"/>
          <w:lang w:eastAsia="es-CO"/>
        </w:rPr>
        <w:t xml:space="preserve">concepto de productor </w:t>
      </w:r>
      <w:r w:rsidR="00D86D1B" w:rsidRPr="00D86D1B">
        <w:rPr>
          <w:rFonts w:eastAsia="Times New Roman"/>
          <w:szCs w:val="24"/>
          <w:lang w:eastAsia="es-CO"/>
        </w:rPr>
        <w:t>señalado en el artículo 440 del Estatuto Tributario</w:t>
      </w:r>
      <w:r w:rsidR="00D86D1B">
        <w:rPr>
          <w:rFonts w:eastAsia="Times New Roman"/>
          <w:szCs w:val="24"/>
          <w:lang w:eastAsia="es-CO"/>
        </w:rPr>
        <w:t>, o para este caso no aplica</w:t>
      </w:r>
      <w:proofErr w:type="gramStart"/>
      <w:r w:rsidR="00D86D1B">
        <w:rPr>
          <w:rFonts w:eastAsia="Times New Roman"/>
          <w:szCs w:val="24"/>
          <w:lang w:eastAsia="es-CO"/>
        </w:rPr>
        <w:t>?.</w:t>
      </w:r>
      <w:proofErr w:type="gramEnd"/>
      <w:r w:rsidR="00D86D1B">
        <w:rPr>
          <w:rFonts w:eastAsia="Times New Roman"/>
          <w:szCs w:val="24"/>
          <w:lang w:eastAsia="es-CO"/>
        </w:rPr>
        <w:t xml:space="preserve"> </w:t>
      </w:r>
    </w:p>
    <w:p w:rsidR="002F5C9F" w:rsidRDefault="002F5C9F" w:rsidP="00D86D1B">
      <w:pPr>
        <w:rPr>
          <w:rFonts w:eastAsia="Times New Roman"/>
          <w:szCs w:val="24"/>
          <w:lang w:eastAsia="es-CO"/>
        </w:rPr>
      </w:pPr>
    </w:p>
    <w:p w:rsidR="002F5C9F" w:rsidRDefault="002F5C9F" w:rsidP="00D86D1B">
      <w:pPr>
        <w:rPr>
          <w:rFonts w:eastAsia="Times New Roman"/>
          <w:szCs w:val="24"/>
          <w:lang w:eastAsia="es-CO"/>
        </w:rPr>
      </w:pPr>
      <w:r w:rsidRPr="00F119E2">
        <w:rPr>
          <w:rFonts w:eastAsia="Times New Roman"/>
          <w:b/>
          <w:szCs w:val="24"/>
          <w:lang w:eastAsia="es-CO"/>
        </w:rPr>
        <w:t>8.3</w:t>
      </w:r>
      <w:r>
        <w:rPr>
          <w:rFonts w:eastAsia="Times New Roman"/>
          <w:szCs w:val="24"/>
          <w:lang w:eastAsia="es-CO"/>
        </w:rPr>
        <w:t>. Si según la Subdirección de Gestión Normativa y Doctrina no s</w:t>
      </w:r>
      <w:r w:rsidR="00F119E2">
        <w:rPr>
          <w:rFonts w:eastAsia="Times New Roman"/>
          <w:szCs w:val="24"/>
          <w:lang w:eastAsia="es-CO"/>
        </w:rPr>
        <w:t xml:space="preserve">e requiere la venta del animal para efectos de la devolución del impuesto a las ventas, </w:t>
      </w:r>
      <w:r>
        <w:rPr>
          <w:rFonts w:eastAsia="Times New Roman"/>
          <w:szCs w:val="24"/>
          <w:lang w:eastAsia="es-CO"/>
        </w:rPr>
        <w:t xml:space="preserve">tal como lo señala en el Oficio No. 001114 de Enero 13 de 2014 en respuesta a consulta No. 5, por qué entonces el decreto 2877 de diciembre </w:t>
      </w:r>
      <w:r w:rsidR="00217546">
        <w:rPr>
          <w:rFonts w:eastAsia="Times New Roman"/>
          <w:szCs w:val="24"/>
          <w:lang w:eastAsia="es-CO"/>
        </w:rPr>
        <w:t>11 de 2013</w:t>
      </w:r>
      <w:r w:rsidR="00005743">
        <w:rPr>
          <w:rFonts w:eastAsia="Times New Roman"/>
          <w:szCs w:val="24"/>
          <w:lang w:eastAsia="es-CO"/>
        </w:rPr>
        <w:t xml:space="preserve"> en su artículo 4º que modificó el artículo 5º del decreto 2277 de 2012, exige como requisito para la devolución la relación de los animales comercializados al igual que la relación de guías para su movilización?. </w:t>
      </w:r>
    </w:p>
    <w:p w:rsidR="00005743" w:rsidRDefault="00005743" w:rsidP="00D86D1B">
      <w:pPr>
        <w:rPr>
          <w:rFonts w:eastAsia="Times New Roman"/>
          <w:szCs w:val="24"/>
          <w:lang w:eastAsia="es-CO"/>
        </w:rPr>
      </w:pPr>
    </w:p>
    <w:p w:rsidR="00005743" w:rsidRDefault="00005743" w:rsidP="00D86D1B">
      <w:pPr>
        <w:rPr>
          <w:rFonts w:eastAsia="Times New Roman"/>
          <w:szCs w:val="24"/>
          <w:lang w:eastAsia="es-CO"/>
        </w:rPr>
      </w:pPr>
      <w:r w:rsidRPr="00217546">
        <w:rPr>
          <w:rFonts w:eastAsia="Times New Roman"/>
          <w:b/>
          <w:szCs w:val="24"/>
          <w:lang w:eastAsia="es-CO"/>
        </w:rPr>
        <w:lastRenderedPageBreak/>
        <w:t>8.4</w:t>
      </w:r>
      <w:r>
        <w:rPr>
          <w:rFonts w:eastAsia="Times New Roman"/>
          <w:szCs w:val="24"/>
          <w:lang w:eastAsia="es-CO"/>
        </w:rPr>
        <w:t>. Quedó entonces mal redactado el Decreto 2877 de diciembre de 2013 en cuanto a que condiciona la devo</w:t>
      </w:r>
      <w:r w:rsidR="00A020D2">
        <w:rPr>
          <w:rFonts w:eastAsia="Times New Roman"/>
          <w:szCs w:val="24"/>
          <w:lang w:eastAsia="es-CO"/>
        </w:rPr>
        <w:t>lución del impuest</w:t>
      </w:r>
      <w:r w:rsidR="00CC6733">
        <w:rPr>
          <w:rFonts w:eastAsia="Times New Roman"/>
          <w:szCs w:val="24"/>
          <w:lang w:eastAsia="es-CO"/>
        </w:rPr>
        <w:t>o</w:t>
      </w:r>
      <w:r>
        <w:rPr>
          <w:rFonts w:eastAsia="Times New Roman"/>
          <w:szCs w:val="24"/>
          <w:lang w:eastAsia="es-CO"/>
        </w:rPr>
        <w:t xml:space="preserve"> pagado en los insumos necesarios para el sostenimiento del ganado</w:t>
      </w:r>
      <w:r w:rsidR="00217546">
        <w:rPr>
          <w:rFonts w:eastAsia="Times New Roman"/>
          <w:szCs w:val="24"/>
          <w:lang w:eastAsia="es-CO"/>
        </w:rPr>
        <w:t xml:space="preserve"> bovino (Excepto el de lidia) a la venta de los animales</w:t>
      </w:r>
      <w:proofErr w:type="gramStart"/>
      <w:r w:rsidR="00217546">
        <w:rPr>
          <w:rFonts w:eastAsia="Times New Roman"/>
          <w:szCs w:val="24"/>
          <w:lang w:eastAsia="es-CO"/>
        </w:rPr>
        <w:t>?.</w:t>
      </w:r>
      <w:proofErr w:type="gramEnd"/>
      <w:r w:rsidR="00217546">
        <w:rPr>
          <w:rFonts w:eastAsia="Times New Roman"/>
          <w:szCs w:val="24"/>
          <w:lang w:eastAsia="es-CO"/>
        </w:rPr>
        <w:t xml:space="preserve"> </w:t>
      </w:r>
    </w:p>
    <w:p w:rsidR="00217546" w:rsidRDefault="00217546" w:rsidP="00D86D1B">
      <w:pPr>
        <w:rPr>
          <w:rFonts w:eastAsia="Times New Roman"/>
          <w:szCs w:val="24"/>
          <w:lang w:eastAsia="es-CO"/>
        </w:rPr>
      </w:pPr>
    </w:p>
    <w:p w:rsidR="00217546" w:rsidRPr="0035625C" w:rsidRDefault="00DA7078" w:rsidP="00D86D1B">
      <w:pPr>
        <w:rPr>
          <w:rFonts w:eastAsia="Times New Roman"/>
          <w:b/>
          <w:szCs w:val="24"/>
          <w:lang w:eastAsia="es-CO"/>
        </w:rPr>
      </w:pPr>
      <w:r w:rsidRPr="0035625C">
        <w:rPr>
          <w:rFonts w:eastAsia="Times New Roman"/>
          <w:b/>
          <w:szCs w:val="24"/>
          <w:lang w:eastAsia="es-CO"/>
        </w:rPr>
        <w:t xml:space="preserve">NOVENA: </w:t>
      </w:r>
    </w:p>
    <w:p w:rsidR="00DA7078" w:rsidRDefault="00DA7078" w:rsidP="00D86D1B">
      <w:pPr>
        <w:rPr>
          <w:rFonts w:eastAsia="Times New Roman"/>
          <w:szCs w:val="24"/>
          <w:lang w:eastAsia="es-CO"/>
        </w:rPr>
      </w:pPr>
    </w:p>
    <w:p w:rsidR="00DA7078" w:rsidRPr="0035625C" w:rsidRDefault="00DA7078" w:rsidP="00D86D1B">
      <w:pPr>
        <w:rPr>
          <w:rFonts w:eastAsia="Times New Roman"/>
          <w:szCs w:val="24"/>
          <w:lang w:eastAsia="es-CO"/>
        </w:rPr>
      </w:pPr>
      <w:r w:rsidRPr="0035625C">
        <w:rPr>
          <w:rFonts w:eastAsia="Times New Roman"/>
          <w:szCs w:val="24"/>
          <w:lang w:eastAsia="es-CO"/>
        </w:rPr>
        <w:t xml:space="preserve">El formulario 110 designado por la Resolución No. </w:t>
      </w:r>
      <w:r w:rsidR="0035625C" w:rsidRPr="0035625C">
        <w:rPr>
          <w:rFonts w:eastAsia="Times New Roman"/>
          <w:szCs w:val="24"/>
          <w:lang w:eastAsia="es-CO"/>
        </w:rPr>
        <w:t>060 del 20 de febrero de 2014, no permite ser utilizado por aquellas personas naturales residentes que por el año gravable 2013 pertenezcan a la categoría de empleados y que estén inscritos en el régimen común, por poseer más de un establecimiento de comercio que por ende lo obliga a esta</w:t>
      </w:r>
      <w:r w:rsidR="00A44578">
        <w:rPr>
          <w:rFonts w:eastAsia="Times New Roman"/>
          <w:szCs w:val="24"/>
          <w:lang w:eastAsia="es-CO"/>
        </w:rPr>
        <w:t>r</w:t>
      </w:r>
      <w:r w:rsidR="0035625C" w:rsidRPr="0035625C">
        <w:rPr>
          <w:rFonts w:eastAsia="Times New Roman"/>
          <w:szCs w:val="24"/>
          <w:lang w:eastAsia="es-CO"/>
        </w:rPr>
        <w:t xml:space="preserve"> en este régimen y l</w:t>
      </w:r>
      <w:r w:rsidR="00E5091B">
        <w:rPr>
          <w:rFonts w:eastAsia="Times New Roman"/>
          <w:szCs w:val="24"/>
          <w:lang w:eastAsia="es-CO"/>
        </w:rPr>
        <w:t xml:space="preserve">os cuales le generaron </w:t>
      </w:r>
      <w:r w:rsidR="0035625C" w:rsidRPr="0035625C">
        <w:rPr>
          <w:rFonts w:eastAsia="Times New Roman"/>
          <w:szCs w:val="24"/>
          <w:lang w:eastAsia="es-CO"/>
        </w:rPr>
        <w:t xml:space="preserve"> un 20% o menos del total de ingresos obtenidos en dicho año. </w:t>
      </w:r>
    </w:p>
    <w:p w:rsidR="00005743" w:rsidRDefault="00005743" w:rsidP="00D86D1B">
      <w:pPr>
        <w:rPr>
          <w:rFonts w:eastAsia="Times New Roman"/>
          <w:szCs w:val="24"/>
          <w:lang w:eastAsia="es-CO"/>
        </w:rPr>
      </w:pPr>
    </w:p>
    <w:p w:rsidR="00005743" w:rsidRDefault="00E5091B" w:rsidP="00D86D1B">
      <w:pPr>
        <w:rPr>
          <w:rFonts w:eastAsia="Times New Roman"/>
          <w:szCs w:val="24"/>
          <w:lang w:eastAsia="es-CO"/>
        </w:rPr>
      </w:pPr>
      <w:r>
        <w:rPr>
          <w:rFonts w:eastAsia="Times New Roman"/>
          <w:szCs w:val="24"/>
          <w:lang w:eastAsia="es-CO"/>
        </w:rPr>
        <w:t xml:space="preserve">¿Ante el hecho de que el formulario 110 no le permite liquidar el impuesto bajo el sistema IMAN establecido en los artículos 332 y 333 del Estatuto Tributario, sólo le queda la alternativa de utilizar el formulario 210 establecido para las personas no obligadas a llevar contabilidad?. </w:t>
      </w:r>
    </w:p>
    <w:p w:rsidR="00B834B1" w:rsidRDefault="00B834B1" w:rsidP="00D86D1B">
      <w:pPr>
        <w:rPr>
          <w:rFonts w:eastAsia="Times New Roman"/>
          <w:szCs w:val="24"/>
          <w:lang w:eastAsia="es-CO"/>
        </w:rPr>
      </w:pPr>
    </w:p>
    <w:p w:rsidR="00B834B1" w:rsidRDefault="00B834B1" w:rsidP="00D86D1B">
      <w:pPr>
        <w:rPr>
          <w:rFonts w:eastAsia="Times New Roman"/>
          <w:b/>
          <w:szCs w:val="24"/>
          <w:lang w:eastAsia="es-CO"/>
        </w:rPr>
      </w:pPr>
      <w:r w:rsidRPr="00B834B1">
        <w:rPr>
          <w:rFonts w:eastAsia="Times New Roman"/>
          <w:b/>
          <w:szCs w:val="24"/>
          <w:lang w:eastAsia="es-CO"/>
        </w:rPr>
        <w:t xml:space="preserve">DECIMA: </w:t>
      </w:r>
    </w:p>
    <w:p w:rsidR="00DF417B" w:rsidRDefault="00DF417B" w:rsidP="00D86D1B">
      <w:pPr>
        <w:rPr>
          <w:rFonts w:eastAsia="Times New Roman"/>
          <w:b/>
          <w:szCs w:val="24"/>
          <w:lang w:eastAsia="es-CO"/>
        </w:rPr>
      </w:pPr>
    </w:p>
    <w:p w:rsidR="00DF417B" w:rsidRPr="00C063F5" w:rsidRDefault="00DF417B" w:rsidP="00D86D1B">
      <w:pPr>
        <w:rPr>
          <w:rFonts w:eastAsia="Times New Roman"/>
          <w:szCs w:val="24"/>
          <w:lang w:eastAsia="es-CO"/>
        </w:rPr>
      </w:pPr>
      <w:r w:rsidRPr="00C063F5">
        <w:rPr>
          <w:rFonts w:eastAsia="Times New Roman"/>
          <w:szCs w:val="24"/>
          <w:lang w:eastAsia="es-CO"/>
        </w:rPr>
        <w:t>El formulario No. 210 designado</w:t>
      </w:r>
      <w:r w:rsidR="00396615">
        <w:rPr>
          <w:rFonts w:eastAsia="Times New Roman"/>
          <w:szCs w:val="24"/>
          <w:lang w:eastAsia="es-CO"/>
        </w:rPr>
        <w:t xml:space="preserve"> para ser utilizado por  el año 2013 por las personas naturales no obligadas a llevar contabilidad  según </w:t>
      </w:r>
      <w:r w:rsidRPr="00C063F5">
        <w:rPr>
          <w:rFonts w:eastAsia="Times New Roman"/>
          <w:szCs w:val="24"/>
          <w:lang w:eastAsia="es-CO"/>
        </w:rPr>
        <w:t xml:space="preserve"> la Resolución No. </w:t>
      </w:r>
      <w:r w:rsidR="00C063F5" w:rsidRPr="00C063F5">
        <w:rPr>
          <w:rFonts w:eastAsia="Times New Roman"/>
          <w:szCs w:val="24"/>
          <w:lang w:eastAsia="es-CO"/>
        </w:rPr>
        <w:t>060 de Febrero 20 de 2014, en el renglón 58 permite llevar como rentas exentas los ingresos recibidos por concepto de Gastos de Representación y en el instructivo d</w:t>
      </w:r>
      <w:r w:rsidR="00396615">
        <w:rPr>
          <w:rFonts w:eastAsia="Times New Roman"/>
          <w:szCs w:val="24"/>
          <w:lang w:eastAsia="es-CO"/>
        </w:rPr>
        <w:t xml:space="preserve">e dicho formulario se </w:t>
      </w:r>
      <w:r w:rsidR="00C063F5" w:rsidRPr="00C063F5">
        <w:rPr>
          <w:rFonts w:eastAsia="Times New Roman"/>
          <w:szCs w:val="24"/>
          <w:lang w:eastAsia="es-CO"/>
        </w:rPr>
        <w:t xml:space="preserve"> relaciona</w:t>
      </w:r>
      <w:r w:rsidR="00396615">
        <w:rPr>
          <w:rFonts w:eastAsia="Times New Roman"/>
          <w:szCs w:val="24"/>
          <w:lang w:eastAsia="es-CO"/>
        </w:rPr>
        <w:t>n</w:t>
      </w:r>
      <w:r w:rsidR="00C063F5" w:rsidRPr="00C063F5">
        <w:rPr>
          <w:rFonts w:eastAsia="Times New Roman"/>
          <w:szCs w:val="24"/>
          <w:lang w:eastAsia="es-CO"/>
        </w:rPr>
        <w:t xml:space="preserve"> como exentos los recibidos por distintas personas: </w:t>
      </w:r>
    </w:p>
    <w:p w:rsidR="00C063F5" w:rsidRPr="00C063F5" w:rsidRDefault="00C063F5" w:rsidP="00D86D1B">
      <w:pPr>
        <w:rPr>
          <w:rFonts w:eastAsia="Times New Roman"/>
          <w:szCs w:val="24"/>
          <w:lang w:eastAsia="es-CO"/>
        </w:rPr>
      </w:pPr>
    </w:p>
    <w:p w:rsidR="00C063F5" w:rsidRPr="00C063F5" w:rsidRDefault="00C063F5" w:rsidP="00D86D1B">
      <w:pPr>
        <w:rPr>
          <w:rFonts w:eastAsia="Times New Roman"/>
          <w:szCs w:val="24"/>
          <w:lang w:eastAsia="es-CO"/>
        </w:rPr>
      </w:pPr>
      <w:r w:rsidRPr="00C063F5">
        <w:rPr>
          <w:rFonts w:eastAsia="Times New Roman"/>
          <w:szCs w:val="24"/>
          <w:lang w:eastAsia="es-CO"/>
        </w:rPr>
        <w:t xml:space="preserve">Veamos lo que expresa el instructivo: </w:t>
      </w:r>
    </w:p>
    <w:p w:rsidR="00DF417B" w:rsidRDefault="00DF417B" w:rsidP="00D86D1B">
      <w:pPr>
        <w:rPr>
          <w:rFonts w:eastAsia="Times New Roman"/>
          <w:szCs w:val="24"/>
          <w:lang w:eastAsia="es-CO"/>
        </w:rPr>
      </w:pPr>
    </w:p>
    <w:p w:rsidR="00DF417B" w:rsidRPr="00DF417B" w:rsidRDefault="00C063F5" w:rsidP="00C063F5">
      <w:pPr>
        <w:autoSpaceDE w:val="0"/>
        <w:autoSpaceDN w:val="0"/>
        <w:adjustRightInd w:val="0"/>
        <w:ind w:left="567" w:right="567"/>
        <w:rPr>
          <w:b/>
          <w:bCs/>
          <w:color w:val="4D4D4D"/>
          <w:szCs w:val="24"/>
        </w:rPr>
      </w:pPr>
      <w:r>
        <w:rPr>
          <w:rFonts w:eastAsia="Times New Roman"/>
          <w:szCs w:val="24"/>
          <w:lang w:eastAsia="es-CO"/>
        </w:rPr>
        <w:t>“</w:t>
      </w:r>
      <w:r w:rsidR="00DF417B" w:rsidRPr="00DF417B">
        <w:rPr>
          <w:b/>
          <w:bCs/>
          <w:color w:val="4D4D4D"/>
          <w:szCs w:val="24"/>
        </w:rPr>
        <w:t>Renta exenta</w:t>
      </w:r>
    </w:p>
    <w:p w:rsidR="00A148CE" w:rsidRPr="00C063F5" w:rsidRDefault="00DF417B" w:rsidP="00C063F5">
      <w:pPr>
        <w:autoSpaceDE w:val="0"/>
        <w:autoSpaceDN w:val="0"/>
        <w:adjustRightInd w:val="0"/>
        <w:ind w:left="567" w:right="567"/>
        <w:rPr>
          <w:color w:val="4D4D4D"/>
          <w:szCs w:val="24"/>
        </w:rPr>
      </w:pPr>
      <w:r w:rsidRPr="00DF417B">
        <w:rPr>
          <w:b/>
          <w:bCs/>
          <w:color w:val="4D4D4D"/>
          <w:szCs w:val="24"/>
        </w:rPr>
        <w:t xml:space="preserve">58. Gastos de representación y otras rentas de trabajo: </w:t>
      </w:r>
      <w:r>
        <w:rPr>
          <w:color w:val="4D4D4D"/>
          <w:szCs w:val="24"/>
        </w:rPr>
        <w:t xml:space="preserve">Escriba en esta casilla  el </w:t>
      </w:r>
      <w:r w:rsidRPr="00DF417B">
        <w:rPr>
          <w:color w:val="4D4D4D"/>
          <w:szCs w:val="24"/>
        </w:rPr>
        <w:t>cincuenta por ciento (50%) de los salarios que perciban el Pr</w:t>
      </w:r>
      <w:r>
        <w:rPr>
          <w:color w:val="4D4D4D"/>
          <w:szCs w:val="24"/>
        </w:rPr>
        <w:t xml:space="preserve">esidente de la República, </w:t>
      </w:r>
      <w:r w:rsidRPr="00DF417B">
        <w:rPr>
          <w:color w:val="4D4D4D"/>
          <w:szCs w:val="24"/>
        </w:rPr>
        <w:t>los ministros del despacho, los senadores, representant</w:t>
      </w:r>
      <w:r>
        <w:rPr>
          <w:color w:val="4D4D4D"/>
          <w:szCs w:val="24"/>
        </w:rPr>
        <w:t xml:space="preserve">es y diputados, los magistrados </w:t>
      </w:r>
      <w:r w:rsidRPr="00DF417B">
        <w:rPr>
          <w:color w:val="4D4D4D"/>
          <w:szCs w:val="24"/>
        </w:rPr>
        <w:t>y sus fiscales, el Contralor General de la Repú</w:t>
      </w:r>
      <w:r>
        <w:rPr>
          <w:color w:val="4D4D4D"/>
          <w:szCs w:val="24"/>
        </w:rPr>
        <w:t>blica, el Procurador General de</w:t>
      </w:r>
      <w:r w:rsidRPr="00DF417B">
        <w:rPr>
          <w:color w:val="4D4D4D"/>
          <w:szCs w:val="24"/>
        </w:rPr>
        <w:t>la Nación, el Registrador Nacional del Estado Civil, los jefes d</w:t>
      </w:r>
      <w:r>
        <w:rPr>
          <w:color w:val="4D4D4D"/>
          <w:szCs w:val="24"/>
        </w:rPr>
        <w:t xml:space="preserve">e departamento </w:t>
      </w:r>
      <w:r w:rsidRPr="00DF417B">
        <w:rPr>
          <w:color w:val="4D4D4D"/>
          <w:szCs w:val="24"/>
        </w:rPr>
        <w:t>administrativo, los superintendentes, los gobernadore</w:t>
      </w:r>
      <w:r>
        <w:rPr>
          <w:color w:val="4D4D4D"/>
          <w:szCs w:val="24"/>
        </w:rPr>
        <w:t xml:space="preserve">s y secretarios departamentales </w:t>
      </w:r>
      <w:r w:rsidRPr="00DF417B">
        <w:rPr>
          <w:color w:val="4D4D4D"/>
          <w:szCs w:val="24"/>
        </w:rPr>
        <w:t>de gobernaciones, los contralores departamentales</w:t>
      </w:r>
      <w:r>
        <w:rPr>
          <w:color w:val="4D4D4D"/>
          <w:szCs w:val="24"/>
        </w:rPr>
        <w:t xml:space="preserve">, los alcaldes y secretarios de </w:t>
      </w:r>
      <w:r w:rsidRPr="00DF417B">
        <w:rPr>
          <w:color w:val="4D4D4D"/>
          <w:szCs w:val="24"/>
        </w:rPr>
        <w:t>alcaldía de ciudades capitales de departament</w:t>
      </w:r>
      <w:r>
        <w:rPr>
          <w:color w:val="4D4D4D"/>
          <w:szCs w:val="24"/>
        </w:rPr>
        <w:t xml:space="preserve">o, los rectores y profesores de </w:t>
      </w:r>
      <w:r w:rsidRPr="00DF417B">
        <w:rPr>
          <w:color w:val="4D4D4D"/>
          <w:szCs w:val="24"/>
        </w:rPr>
        <w:t xml:space="preserve">universidades oficiales, secretarios </w:t>
      </w:r>
      <w:r w:rsidRPr="00DF417B">
        <w:rPr>
          <w:color w:val="4D4D4D"/>
          <w:szCs w:val="24"/>
        </w:rPr>
        <w:lastRenderedPageBreak/>
        <w:t>generales, subsecr</w:t>
      </w:r>
      <w:r>
        <w:rPr>
          <w:color w:val="4D4D4D"/>
          <w:szCs w:val="24"/>
        </w:rPr>
        <w:t xml:space="preserve">etarios generales y secretarios </w:t>
      </w:r>
      <w:r w:rsidRPr="00DF417B">
        <w:rPr>
          <w:color w:val="4D4D4D"/>
          <w:szCs w:val="24"/>
        </w:rPr>
        <w:t>generales de las comisiones constitucionales y legale</w:t>
      </w:r>
      <w:r>
        <w:rPr>
          <w:color w:val="4D4D4D"/>
          <w:szCs w:val="24"/>
        </w:rPr>
        <w:t>s del Congreso de la República.</w:t>
      </w:r>
      <w:r w:rsidRPr="00DF417B">
        <w:rPr>
          <w:color w:val="4D4D4D"/>
          <w:szCs w:val="24"/>
        </w:rPr>
        <w:t xml:space="preserve"> Para los jueces de la República el porcentaje exento </w:t>
      </w:r>
      <w:r>
        <w:rPr>
          <w:color w:val="4D4D4D"/>
          <w:szCs w:val="24"/>
        </w:rPr>
        <w:t>será del veinticinco por ciento</w:t>
      </w:r>
      <w:r w:rsidR="00C063F5">
        <w:rPr>
          <w:color w:val="4D4D4D"/>
          <w:szCs w:val="24"/>
        </w:rPr>
        <w:t xml:space="preserve"> </w:t>
      </w:r>
      <w:r w:rsidRPr="00DF417B">
        <w:rPr>
          <w:color w:val="4D4D4D"/>
          <w:szCs w:val="24"/>
        </w:rPr>
        <w:t>(25%) sobre su salario (Numeral 7, Art. 206 E.T.</w:t>
      </w:r>
      <w:r w:rsidR="00C063F5">
        <w:rPr>
          <w:color w:val="4D4D4D"/>
          <w:szCs w:val="24"/>
        </w:rPr>
        <w:t xml:space="preserve">). Los gastos de representación </w:t>
      </w:r>
      <w:r w:rsidRPr="00DF417B">
        <w:rPr>
          <w:color w:val="4D4D4D"/>
          <w:szCs w:val="24"/>
        </w:rPr>
        <w:t>que perciban los rectores y profesores de univers</w:t>
      </w:r>
      <w:r w:rsidR="00C063F5">
        <w:rPr>
          <w:color w:val="4D4D4D"/>
          <w:szCs w:val="24"/>
        </w:rPr>
        <w:t xml:space="preserve">idades oficiales, los gastos de </w:t>
      </w:r>
      <w:r w:rsidRPr="00DF417B">
        <w:rPr>
          <w:color w:val="4D4D4D"/>
          <w:szCs w:val="24"/>
        </w:rPr>
        <w:t>representación no podrán exceder del cincuenta</w:t>
      </w:r>
      <w:r w:rsidR="00C063F5">
        <w:rPr>
          <w:color w:val="4D4D4D"/>
          <w:szCs w:val="24"/>
        </w:rPr>
        <w:t xml:space="preserve"> por ciento (50%) de su salario </w:t>
      </w:r>
      <w:r w:rsidRPr="00C063F5">
        <w:rPr>
          <w:color w:val="4D4D4D"/>
          <w:szCs w:val="24"/>
        </w:rPr>
        <w:t xml:space="preserve">(Inc. final, numeral. </w:t>
      </w:r>
      <w:r w:rsidRPr="00087CCB">
        <w:rPr>
          <w:color w:val="4D4D4D"/>
          <w:szCs w:val="24"/>
        </w:rPr>
        <w:t>7, Art. 206 E.T.).</w:t>
      </w:r>
      <w:r w:rsidR="00C063F5" w:rsidRPr="00087CCB">
        <w:rPr>
          <w:color w:val="4D4D4D"/>
          <w:szCs w:val="24"/>
        </w:rPr>
        <w:t xml:space="preserve">” </w:t>
      </w:r>
    </w:p>
    <w:p w:rsidR="00A148CE" w:rsidRPr="00087CCB" w:rsidRDefault="00A148CE" w:rsidP="00C063F5">
      <w:pPr>
        <w:ind w:left="567" w:right="567"/>
        <w:rPr>
          <w:rFonts w:eastAsia="Times New Roman"/>
          <w:b/>
          <w:szCs w:val="24"/>
          <w:lang w:eastAsia="es-CO"/>
        </w:rPr>
      </w:pPr>
    </w:p>
    <w:p w:rsidR="00C063F5" w:rsidRDefault="00C063F5" w:rsidP="00C063F5">
      <w:pPr>
        <w:ind w:right="567"/>
        <w:rPr>
          <w:rFonts w:eastAsia="Times New Roman"/>
          <w:b/>
          <w:szCs w:val="24"/>
          <w:lang w:eastAsia="es-CO"/>
        </w:rPr>
      </w:pPr>
      <w:r w:rsidRPr="00396615">
        <w:rPr>
          <w:rFonts w:eastAsia="Times New Roman"/>
          <w:b/>
          <w:szCs w:val="24"/>
          <w:lang w:eastAsia="es-CO"/>
        </w:rPr>
        <w:t xml:space="preserve">PREGUNTA: </w:t>
      </w:r>
    </w:p>
    <w:p w:rsidR="00396615" w:rsidRPr="00396615" w:rsidRDefault="00396615" w:rsidP="00C063F5">
      <w:pPr>
        <w:ind w:right="567"/>
        <w:rPr>
          <w:rFonts w:eastAsia="Times New Roman"/>
          <w:b/>
          <w:szCs w:val="24"/>
          <w:lang w:eastAsia="es-CO"/>
        </w:rPr>
      </w:pPr>
    </w:p>
    <w:p w:rsidR="00A148CE" w:rsidRDefault="00396615" w:rsidP="00396615">
      <w:pPr>
        <w:rPr>
          <w:rFonts w:eastAsia="Times New Roman"/>
          <w:b/>
          <w:i/>
          <w:szCs w:val="24"/>
          <w:lang w:eastAsia="es-CO"/>
        </w:rPr>
      </w:pPr>
      <w:r>
        <w:rPr>
          <w:rFonts w:eastAsia="Times New Roman"/>
          <w:szCs w:val="24"/>
          <w:lang w:eastAsia="es-CO"/>
        </w:rPr>
        <w:t>¿</w:t>
      </w:r>
      <w:r w:rsidR="00C063F5" w:rsidRPr="00C063F5">
        <w:rPr>
          <w:rFonts w:eastAsia="Times New Roman"/>
          <w:szCs w:val="24"/>
          <w:lang w:eastAsia="es-CO"/>
        </w:rPr>
        <w:t>Qué normas vigentes permiten solicitar como exentas los gastos de representaci</w:t>
      </w:r>
      <w:r w:rsidR="00C063F5">
        <w:rPr>
          <w:rFonts w:eastAsia="Times New Roman"/>
          <w:szCs w:val="24"/>
          <w:lang w:eastAsia="es-CO"/>
        </w:rPr>
        <w:t xml:space="preserve">ón recibidos por las diferentes personas citadas en el instructivo, en el entendido de que el </w:t>
      </w:r>
      <w:r>
        <w:rPr>
          <w:rFonts w:eastAsia="Times New Roman"/>
          <w:szCs w:val="24"/>
          <w:lang w:eastAsia="es-CO"/>
        </w:rPr>
        <w:t>numeral 7 del artículo 206 del Estatuto Tributario las</w:t>
      </w:r>
      <w:r w:rsidR="00A44578">
        <w:rPr>
          <w:rFonts w:eastAsia="Times New Roman"/>
          <w:szCs w:val="24"/>
          <w:lang w:eastAsia="es-CO"/>
        </w:rPr>
        <w:t xml:space="preserve"> ha </w:t>
      </w:r>
      <w:r>
        <w:rPr>
          <w:rFonts w:eastAsia="Times New Roman"/>
          <w:szCs w:val="24"/>
          <w:lang w:eastAsia="es-CO"/>
        </w:rPr>
        <w:t xml:space="preserve">  limitado a los recibidos por los magistrados de los tribunales y sus fiscales en un 50% de su salario, al 25% para el caso de los jueces de la República y en un 50%  para el caso de los rectores y profesores de universidades oficiales?</w:t>
      </w:r>
      <w:r w:rsidR="00A148CE" w:rsidRPr="00C063F5">
        <w:rPr>
          <w:rFonts w:eastAsia="Times New Roman"/>
          <w:b/>
          <w:i/>
          <w:szCs w:val="24"/>
          <w:lang w:eastAsia="es-CO"/>
        </w:rPr>
        <w:t xml:space="preserve"> </w:t>
      </w:r>
    </w:p>
    <w:p w:rsidR="00882FAC" w:rsidRDefault="00882FAC" w:rsidP="00396615">
      <w:pPr>
        <w:rPr>
          <w:rFonts w:eastAsia="Times New Roman"/>
          <w:b/>
          <w:i/>
          <w:szCs w:val="24"/>
          <w:lang w:eastAsia="es-CO"/>
        </w:rPr>
      </w:pPr>
    </w:p>
    <w:p w:rsidR="00882FAC" w:rsidRPr="00AC6EF0" w:rsidRDefault="00882FAC" w:rsidP="00396615">
      <w:pPr>
        <w:rPr>
          <w:rFonts w:eastAsia="Times New Roman"/>
          <w:b/>
          <w:szCs w:val="24"/>
          <w:lang w:eastAsia="es-CO"/>
        </w:rPr>
      </w:pPr>
      <w:r w:rsidRPr="00AC6EF0">
        <w:rPr>
          <w:rFonts w:eastAsia="Times New Roman"/>
          <w:b/>
          <w:szCs w:val="24"/>
          <w:lang w:eastAsia="es-CO"/>
        </w:rPr>
        <w:t xml:space="preserve">DECIMA PRIMERA: </w:t>
      </w:r>
    </w:p>
    <w:p w:rsidR="00882FAC" w:rsidRPr="00AC6EF0" w:rsidRDefault="00882FAC" w:rsidP="00396615">
      <w:pPr>
        <w:rPr>
          <w:rFonts w:eastAsia="Times New Roman"/>
          <w:b/>
          <w:szCs w:val="24"/>
          <w:lang w:eastAsia="es-CO"/>
        </w:rPr>
      </w:pPr>
    </w:p>
    <w:p w:rsidR="00882FAC" w:rsidRDefault="000840E5" w:rsidP="00396615">
      <w:pPr>
        <w:rPr>
          <w:rFonts w:eastAsia="Times New Roman"/>
          <w:szCs w:val="24"/>
          <w:lang w:eastAsia="es-CO"/>
        </w:rPr>
      </w:pPr>
      <w:r>
        <w:rPr>
          <w:rFonts w:eastAsia="Times New Roman"/>
          <w:szCs w:val="24"/>
          <w:lang w:eastAsia="es-CO"/>
        </w:rPr>
        <w:t xml:space="preserve">El artículo 600 del Estatuto Tributario modificado por el artículo 61 de la ley 1607 de 2012 estableció para los grandes contribuyentes, personas jurídicas y personas naturales,  unos nuevos períodos de declaración del impuesto sobre las ventas. </w:t>
      </w:r>
    </w:p>
    <w:p w:rsidR="000840E5" w:rsidRDefault="000840E5" w:rsidP="00396615">
      <w:pPr>
        <w:rPr>
          <w:rFonts w:eastAsia="Times New Roman"/>
          <w:szCs w:val="24"/>
          <w:lang w:eastAsia="es-CO"/>
        </w:rPr>
      </w:pPr>
    </w:p>
    <w:p w:rsidR="000840E5" w:rsidRDefault="000840E5" w:rsidP="00396615">
      <w:pPr>
        <w:rPr>
          <w:rFonts w:eastAsia="Times New Roman"/>
          <w:szCs w:val="24"/>
          <w:lang w:eastAsia="es-CO"/>
        </w:rPr>
      </w:pPr>
      <w:r>
        <w:rPr>
          <w:rFonts w:eastAsia="Times New Roman"/>
          <w:szCs w:val="24"/>
          <w:lang w:eastAsia="es-CO"/>
        </w:rPr>
        <w:t>Sin embargo, no señaló nada al respecto para el caso de las Sociedades de Hecho, los Consorcios y las Uniones Temporales que no son personas Jurídicas. De igual manera no se refirió a las sucesiones ilíquidas que no son personas naturales.</w:t>
      </w:r>
    </w:p>
    <w:p w:rsidR="000840E5" w:rsidRDefault="000840E5" w:rsidP="00396615">
      <w:pPr>
        <w:rPr>
          <w:rFonts w:eastAsia="Times New Roman"/>
          <w:szCs w:val="24"/>
          <w:lang w:eastAsia="es-CO"/>
        </w:rPr>
      </w:pPr>
    </w:p>
    <w:p w:rsidR="000840E5" w:rsidRPr="00F2777B" w:rsidRDefault="000840E5" w:rsidP="00396615">
      <w:pPr>
        <w:rPr>
          <w:rFonts w:eastAsia="Times New Roman"/>
          <w:b/>
          <w:szCs w:val="24"/>
          <w:lang w:eastAsia="es-CO"/>
        </w:rPr>
      </w:pPr>
      <w:r w:rsidRPr="00F2777B">
        <w:rPr>
          <w:rFonts w:eastAsia="Times New Roman"/>
          <w:b/>
          <w:szCs w:val="24"/>
          <w:lang w:eastAsia="es-CO"/>
        </w:rPr>
        <w:t xml:space="preserve">PREGUNTA: </w:t>
      </w:r>
    </w:p>
    <w:p w:rsidR="000840E5" w:rsidRDefault="000840E5" w:rsidP="00396615">
      <w:pPr>
        <w:rPr>
          <w:rFonts w:eastAsia="Times New Roman"/>
          <w:szCs w:val="24"/>
          <w:lang w:eastAsia="es-CO"/>
        </w:rPr>
      </w:pPr>
    </w:p>
    <w:p w:rsidR="000840E5" w:rsidRDefault="00E41039" w:rsidP="00396615">
      <w:pPr>
        <w:rPr>
          <w:rFonts w:eastAsia="Times New Roman"/>
          <w:szCs w:val="24"/>
          <w:lang w:eastAsia="es-CO"/>
        </w:rPr>
      </w:pPr>
      <w:r>
        <w:rPr>
          <w:rFonts w:eastAsia="Times New Roman"/>
          <w:b/>
          <w:szCs w:val="24"/>
          <w:lang w:eastAsia="es-CO"/>
        </w:rPr>
        <w:t>11</w:t>
      </w:r>
      <w:r w:rsidR="000840E5" w:rsidRPr="00F2777B">
        <w:rPr>
          <w:rFonts w:eastAsia="Times New Roman"/>
          <w:b/>
          <w:szCs w:val="24"/>
          <w:lang w:eastAsia="es-CO"/>
        </w:rPr>
        <w:t>.1.</w:t>
      </w:r>
      <w:r w:rsidR="000840E5">
        <w:rPr>
          <w:rFonts w:eastAsia="Times New Roman"/>
          <w:szCs w:val="24"/>
          <w:lang w:eastAsia="es-CO"/>
        </w:rPr>
        <w:t xml:space="preserve"> ¿Cuál es el período en el impuesto a las ventas por el cual deben declarar los anteriores responsables</w:t>
      </w:r>
      <w:proofErr w:type="gramStart"/>
      <w:r w:rsidR="000840E5">
        <w:rPr>
          <w:rFonts w:eastAsia="Times New Roman"/>
          <w:szCs w:val="24"/>
          <w:lang w:eastAsia="es-CO"/>
        </w:rPr>
        <w:t>?.</w:t>
      </w:r>
      <w:proofErr w:type="gramEnd"/>
      <w:r w:rsidR="000840E5">
        <w:rPr>
          <w:rFonts w:eastAsia="Times New Roman"/>
          <w:szCs w:val="24"/>
          <w:lang w:eastAsia="es-CO"/>
        </w:rPr>
        <w:t xml:space="preserve"> </w:t>
      </w:r>
    </w:p>
    <w:p w:rsidR="000840E5" w:rsidRDefault="000840E5" w:rsidP="00396615">
      <w:pPr>
        <w:rPr>
          <w:rFonts w:eastAsia="Times New Roman"/>
          <w:szCs w:val="24"/>
          <w:lang w:eastAsia="es-CO"/>
        </w:rPr>
      </w:pPr>
    </w:p>
    <w:p w:rsidR="000840E5" w:rsidRDefault="00E41039" w:rsidP="00396615">
      <w:pPr>
        <w:rPr>
          <w:rFonts w:eastAsia="Times New Roman"/>
          <w:szCs w:val="24"/>
          <w:lang w:eastAsia="es-CO"/>
        </w:rPr>
      </w:pPr>
      <w:r>
        <w:rPr>
          <w:rFonts w:eastAsia="Times New Roman"/>
          <w:b/>
          <w:szCs w:val="24"/>
          <w:lang w:eastAsia="es-CO"/>
        </w:rPr>
        <w:t>11</w:t>
      </w:r>
      <w:r w:rsidR="000840E5" w:rsidRPr="00F2777B">
        <w:rPr>
          <w:rFonts w:eastAsia="Times New Roman"/>
          <w:b/>
          <w:szCs w:val="24"/>
          <w:lang w:eastAsia="es-CO"/>
        </w:rPr>
        <w:t>.2</w:t>
      </w:r>
      <w:r w:rsidR="006D2FE3">
        <w:rPr>
          <w:rFonts w:eastAsia="Times New Roman"/>
          <w:szCs w:val="24"/>
          <w:lang w:eastAsia="es-CO"/>
        </w:rPr>
        <w:t>. ¿</w:t>
      </w:r>
      <w:r w:rsidR="000840E5">
        <w:rPr>
          <w:rFonts w:eastAsia="Times New Roman"/>
          <w:szCs w:val="24"/>
          <w:lang w:eastAsia="es-CO"/>
        </w:rPr>
        <w:t>Cuando inician operaciones el período es bimestral, tal como lo señala el inciso segundo del parágrafo del artículo 600 del E.T.</w:t>
      </w:r>
      <w:r w:rsidR="006D2FE3">
        <w:rPr>
          <w:rFonts w:eastAsia="Times New Roman"/>
          <w:szCs w:val="24"/>
          <w:lang w:eastAsia="es-CO"/>
        </w:rPr>
        <w:t>?</w:t>
      </w:r>
    </w:p>
    <w:p w:rsidR="00F949CF" w:rsidRDefault="00F949CF" w:rsidP="00396615">
      <w:pPr>
        <w:rPr>
          <w:rFonts w:eastAsia="Times New Roman"/>
          <w:szCs w:val="24"/>
          <w:lang w:eastAsia="es-CO"/>
        </w:rPr>
      </w:pPr>
    </w:p>
    <w:p w:rsidR="000840E5" w:rsidRDefault="000840E5" w:rsidP="00396615">
      <w:pPr>
        <w:rPr>
          <w:rFonts w:eastAsia="Times New Roman"/>
          <w:szCs w:val="24"/>
          <w:lang w:eastAsia="es-CO"/>
        </w:rPr>
      </w:pPr>
    </w:p>
    <w:p w:rsidR="000840E5" w:rsidRDefault="00E41039" w:rsidP="00396615">
      <w:pPr>
        <w:rPr>
          <w:rFonts w:eastAsia="Times New Roman"/>
          <w:szCs w:val="24"/>
          <w:lang w:eastAsia="es-CO"/>
        </w:rPr>
      </w:pPr>
      <w:r>
        <w:rPr>
          <w:rFonts w:eastAsia="Times New Roman"/>
          <w:b/>
          <w:szCs w:val="24"/>
          <w:lang w:eastAsia="es-CO"/>
        </w:rPr>
        <w:t>11</w:t>
      </w:r>
      <w:r w:rsidR="000840E5" w:rsidRPr="00F2777B">
        <w:rPr>
          <w:rFonts w:eastAsia="Times New Roman"/>
          <w:b/>
          <w:szCs w:val="24"/>
          <w:lang w:eastAsia="es-CO"/>
        </w:rPr>
        <w:t>.3.</w:t>
      </w:r>
      <w:r w:rsidR="000840E5">
        <w:rPr>
          <w:rFonts w:eastAsia="Times New Roman"/>
          <w:szCs w:val="24"/>
          <w:lang w:eastAsia="es-CO"/>
        </w:rPr>
        <w:t xml:space="preserve"> Cuál es el per</w:t>
      </w:r>
      <w:r w:rsidR="00853EDE">
        <w:rPr>
          <w:rFonts w:eastAsia="Times New Roman"/>
          <w:szCs w:val="24"/>
          <w:lang w:eastAsia="es-CO"/>
        </w:rPr>
        <w:t xml:space="preserve">íodo para el segundo año y </w:t>
      </w:r>
      <w:r w:rsidR="000840E5">
        <w:rPr>
          <w:rFonts w:eastAsia="Times New Roman"/>
          <w:szCs w:val="24"/>
          <w:lang w:eastAsia="es-CO"/>
        </w:rPr>
        <w:t xml:space="preserve"> siguientes</w:t>
      </w:r>
      <w:proofErr w:type="gramStart"/>
      <w:r w:rsidR="000840E5">
        <w:rPr>
          <w:rFonts w:eastAsia="Times New Roman"/>
          <w:szCs w:val="24"/>
          <w:lang w:eastAsia="es-CO"/>
        </w:rPr>
        <w:t>?.</w:t>
      </w:r>
      <w:proofErr w:type="gramEnd"/>
      <w:r w:rsidR="000840E5">
        <w:rPr>
          <w:rFonts w:eastAsia="Times New Roman"/>
          <w:szCs w:val="24"/>
          <w:lang w:eastAsia="es-CO"/>
        </w:rPr>
        <w:t xml:space="preserve">  </w:t>
      </w:r>
      <w:r w:rsidR="00F2777B">
        <w:rPr>
          <w:rFonts w:eastAsia="Times New Roman"/>
          <w:szCs w:val="24"/>
          <w:lang w:eastAsia="es-CO"/>
        </w:rPr>
        <w:t xml:space="preserve">El Oficio No. 079837 de Diciembre 12 de 2013 sólo se refirió al caso de los consorcios que se liquidan, pero no fue </w:t>
      </w:r>
      <w:r w:rsidR="00F2777B">
        <w:rPr>
          <w:rFonts w:eastAsia="Times New Roman"/>
          <w:szCs w:val="24"/>
          <w:lang w:eastAsia="es-CO"/>
        </w:rPr>
        <w:lastRenderedPageBreak/>
        <w:t>claro en cuanto los períodos en el impuesto sobre las ventas en los casos del segundo y sigui</w:t>
      </w:r>
      <w:r w:rsidR="005668C2">
        <w:rPr>
          <w:rFonts w:eastAsia="Times New Roman"/>
          <w:szCs w:val="24"/>
          <w:lang w:eastAsia="es-CO"/>
        </w:rPr>
        <w:t>entes años para los responsables diferentes a grandes contribuyentes y  personas jurídicas</w:t>
      </w:r>
      <w:r w:rsidR="00637B06">
        <w:rPr>
          <w:rFonts w:eastAsia="Times New Roman"/>
          <w:szCs w:val="24"/>
          <w:lang w:eastAsia="es-CO"/>
        </w:rPr>
        <w:t>.</w:t>
      </w:r>
      <w:r w:rsidR="005668C2">
        <w:rPr>
          <w:rFonts w:eastAsia="Times New Roman"/>
          <w:szCs w:val="24"/>
          <w:lang w:eastAsia="es-CO"/>
        </w:rPr>
        <w:t xml:space="preserve"> </w:t>
      </w:r>
    </w:p>
    <w:p w:rsidR="00A921B9" w:rsidRDefault="00A921B9" w:rsidP="00396615">
      <w:pPr>
        <w:rPr>
          <w:rFonts w:eastAsia="Times New Roman"/>
          <w:szCs w:val="24"/>
          <w:lang w:eastAsia="es-CO"/>
        </w:rPr>
      </w:pPr>
    </w:p>
    <w:p w:rsidR="00A921B9" w:rsidRPr="000774D4" w:rsidRDefault="00A921B9" w:rsidP="00396615">
      <w:pPr>
        <w:rPr>
          <w:rFonts w:eastAsia="Times New Roman"/>
          <w:b/>
          <w:szCs w:val="24"/>
          <w:lang w:eastAsia="es-CO"/>
        </w:rPr>
      </w:pPr>
      <w:r w:rsidRPr="000774D4">
        <w:rPr>
          <w:rFonts w:eastAsia="Times New Roman"/>
          <w:b/>
          <w:szCs w:val="24"/>
          <w:lang w:eastAsia="es-CO"/>
        </w:rPr>
        <w:t xml:space="preserve">DECIMA SEGUNDA: </w:t>
      </w:r>
    </w:p>
    <w:p w:rsidR="00A921B9" w:rsidRDefault="00A921B9" w:rsidP="00396615">
      <w:pPr>
        <w:rPr>
          <w:rFonts w:eastAsia="Times New Roman"/>
          <w:szCs w:val="24"/>
          <w:lang w:eastAsia="es-CO"/>
        </w:rPr>
      </w:pPr>
    </w:p>
    <w:p w:rsidR="00A921B9" w:rsidRDefault="00087CCB" w:rsidP="00396615">
      <w:pPr>
        <w:rPr>
          <w:rFonts w:eastAsia="Times New Roman"/>
          <w:szCs w:val="24"/>
          <w:lang w:eastAsia="es-CO"/>
        </w:rPr>
      </w:pPr>
      <w:r>
        <w:rPr>
          <w:rFonts w:eastAsia="Times New Roman"/>
          <w:szCs w:val="24"/>
          <w:lang w:eastAsia="es-CO"/>
        </w:rPr>
        <w:t xml:space="preserve">Los Órganos  del Estado ejecutores del </w:t>
      </w:r>
      <w:r w:rsidR="00F2156E">
        <w:rPr>
          <w:rFonts w:eastAsia="Times New Roman"/>
          <w:szCs w:val="24"/>
          <w:lang w:eastAsia="es-CO"/>
        </w:rPr>
        <w:t xml:space="preserve"> presupuesto nacional presentan las declaraciones de retención en la fuente según contabilidad de caja, es decir cuando efectúan el pago. Así</w:t>
      </w:r>
      <w:r>
        <w:rPr>
          <w:rFonts w:eastAsia="Times New Roman"/>
          <w:szCs w:val="24"/>
          <w:lang w:eastAsia="es-CO"/>
        </w:rPr>
        <w:t xml:space="preserve"> lo señala el Oficio Dian 042168 de Junio 5 de 2007. </w:t>
      </w:r>
    </w:p>
    <w:p w:rsidR="00087CCB" w:rsidRDefault="00087CCB" w:rsidP="00396615">
      <w:pPr>
        <w:rPr>
          <w:rFonts w:eastAsia="Times New Roman"/>
          <w:szCs w:val="24"/>
          <w:lang w:eastAsia="es-CO"/>
        </w:rPr>
      </w:pPr>
    </w:p>
    <w:p w:rsidR="00637B06" w:rsidRDefault="00087CCB" w:rsidP="00396615">
      <w:pPr>
        <w:rPr>
          <w:rFonts w:eastAsia="Times New Roman"/>
          <w:b/>
          <w:szCs w:val="24"/>
          <w:lang w:eastAsia="es-CO"/>
        </w:rPr>
      </w:pPr>
      <w:r w:rsidRPr="000774D4">
        <w:rPr>
          <w:rFonts w:eastAsia="Times New Roman"/>
          <w:b/>
          <w:szCs w:val="24"/>
          <w:lang w:eastAsia="es-CO"/>
        </w:rPr>
        <w:t>PREGUNTA</w:t>
      </w:r>
      <w:r w:rsidR="00637B06">
        <w:rPr>
          <w:rFonts w:eastAsia="Times New Roman"/>
          <w:b/>
          <w:szCs w:val="24"/>
          <w:lang w:eastAsia="es-CO"/>
        </w:rPr>
        <w:t>S</w:t>
      </w:r>
      <w:r w:rsidRPr="000774D4">
        <w:rPr>
          <w:rFonts w:eastAsia="Times New Roman"/>
          <w:b/>
          <w:szCs w:val="24"/>
          <w:lang w:eastAsia="es-CO"/>
        </w:rPr>
        <w:t>:</w:t>
      </w:r>
    </w:p>
    <w:p w:rsidR="00087CCB" w:rsidRPr="000774D4" w:rsidRDefault="00637B06" w:rsidP="00396615">
      <w:pPr>
        <w:rPr>
          <w:rFonts w:eastAsia="Times New Roman"/>
          <w:b/>
          <w:szCs w:val="24"/>
          <w:lang w:eastAsia="es-CO"/>
        </w:rPr>
      </w:pPr>
      <w:r>
        <w:rPr>
          <w:rFonts w:eastAsia="Times New Roman"/>
          <w:b/>
          <w:szCs w:val="24"/>
          <w:lang w:eastAsia="es-CO"/>
        </w:rPr>
        <w:t xml:space="preserve"> </w:t>
      </w:r>
    </w:p>
    <w:p w:rsidR="00087CCB" w:rsidRDefault="003B5782" w:rsidP="00396615">
      <w:pPr>
        <w:rPr>
          <w:rFonts w:eastAsia="Times New Roman"/>
          <w:szCs w:val="24"/>
          <w:lang w:eastAsia="es-CO"/>
        </w:rPr>
      </w:pPr>
      <w:r w:rsidRPr="003B5782">
        <w:rPr>
          <w:rFonts w:eastAsia="Times New Roman"/>
          <w:b/>
          <w:szCs w:val="24"/>
          <w:lang w:eastAsia="es-CO"/>
        </w:rPr>
        <w:t>12.1.</w:t>
      </w:r>
      <w:r>
        <w:rPr>
          <w:rFonts w:eastAsia="Times New Roman"/>
          <w:szCs w:val="24"/>
          <w:lang w:eastAsia="es-CO"/>
        </w:rPr>
        <w:t xml:space="preserve"> </w:t>
      </w:r>
      <w:r w:rsidR="00087CCB">
        <w:rPr>
          <w:rFonts w:eastAsia="Times New Roman"/>
          <w:szCs w:val="24"/>
          <w:lang w:eastAsia="es-CO"/>
        </w:rPr>
        <w:t xml:space="preserve">Si un Responsable del Impuesto a las ventas  termina un contrato con una entidad del estado, lo ha facturado  y por ende el ingreso ya se ha causado, pero la Entidad ejecutora del presupuesto nacional que retiene bajo la contabilidad de caja le </w:t>
      </w:r>
      <w:r w:rsidR="000774D4">
        <w:rPr>
          <w:rFonts w:eastAsia="Times New Roman"/>
          <w:szCs w:val="24"/>
          <w:lang w:eastAsia="es-CO"/>
        </w:rPr>
        <w:t xml:space="preserve">efectúa el pago y le efectúa la retención </w:t>
      </w:r>
      <w:r w:rsidR="00087CCB">
        <w:rPr>
          <w:rFonts w:eastAsia="Times New Roman"/>
          <w:szCs w:val="24"/>
          <w:lang w:eastAsia="es-CO"/>
        </w:rPr>
        <w:t xml:space="preserve"> al año siguiente, se pregunta, si para efectos del imp</w:t>
      </w:r>
      <w:r w:rsidR="000774D4">
        <w:rPr>
          <w:rFonts w:eastAsia="Times New Roman"/>
          <w:szCs w:val="24"/>
          <w:lang w:eastAsia="es-CO"/>
        </w:rPr>
        <w:t xml:space="preserve">uesto sobre la renta, el ingreso se declara  en el año en que </w:t>
      </w:r>
      <w:r w:rsidR="00087CCB">
        <w:rPr>
          <w:rFonts w:eastAsia="Times New Roman"/>
          <w:szCs w:val="24"/>
          <w:lang w:eastAsia="es-CO"/>
        </w:rPr>
        <w:t xml:space="preserve"> se ha realizado en los términos del artículo 26 del estatuto trib</w:t>
      </w:r>
      <w:r w:rsidR="000774D4">
        <w:rPr>
          <w:rFonts w:eastAsia="Times New Roman"/>
          <w:szCs w:val="24"/>
          <w:lang w:eastAsia="es-CO"/>
        </w:rPr>
        <w:t xml:space="preserve">utario y de igual manera se incluye en el mismo año la retención en la fuente, </w:t>
      </w:r>
      <w:r w:rsidR="00087CCB">
        <w:rPr>
          <w:rFonts w:eastAsia="Times New Roman"/>
          <w:szCs w:val="24"/>
          <w:lang w:eastAsia="es-CO"/>
        </w:rPr>
        <w:t xml:space="preserve"> as</w:t>
      </w:r>
      <w:r w:rsidR="000774D4">
        <w:rPr>
          <w:rFonts w:eastAsia="Times New Roman"/>
          <w:szCs w:val="24"/>
          <w:lang w:eastAsia="es-CO"/>
        </w:rPr>
        <w:t xml:space="preserve">í el certificado que la acredita </w:t>
      </w:r>
      <w:r w:rsidR="00087CCB">
        <w:rPr>
          <w:rFonts w:eastAsia="Times New Roman"/>
          <w:szCs w:val="24"/>
          <w:lang w:eastAsia="es-CO"/>
        </w:rPr>
        <w:t xml:space="preserve"> </w:t>
      </w:r>
      <w:r w:rsidR="00087CCB" w:rsidRPr="000774D4">
        <w:rPr>
          <w:rFonts w:eastAsia="Times New Roman"/>
          <w:b/>
          <w:szCs w:val="24"/>
          <w:lang w:eastAsia="es-CO"/>
        </w:rPr>
        <w:t>no lo haya expedido la entidad</w:t>
      </w:r>
      <w:r w:rsidR="00087CCB">
        <w:rPr>
          <w:rFonts w:eastAsia="Times New Roman"/>
          <w:szCs w:val="24"/>
          <w:lang w:eastAsia="es-CO"/>
        </w:rPr>
        <w:t>, toda vez que</w:t>
      </w:r>
      <w:r w:rsidR="000774D4">
        <w:rPr>
          <w:rFonts w:eastAsia="Times New Roman"/>
          <w:szCs w:val="24"/>
          <w:lang w:eastAsia="es-CO"/>
        </w:rPr>
        <w:t xml:space="preserve"> ésta </w:t>
      </w:r>
      <w:r w:rsidR="00087CCB">
        <w:rPr>
          <w:rFonts w:eastAsia="Times New Roman"/>
          <w:szCs w:val="24"/>
          <w:lang w:eastAsia="es-CO"/>
        </w:rPr>
        <w:t xml:space="preserve"> procede bajo la contabilidad de caja y sólo efectuaría la retenci</w:t>
      </w:r>
      <w:r>
        <w:rPr>
          <w:rFonts w:eastAsia="Times New Roman"/>
          <w:szCs w:val="24"/>
          <w:lang w:eastAsia="es-CO"/>
        </w:rPr>
        <w:t xml:space="preserve">ón en el año gravable en el cual realiza el pago?. </w:t>
      </w:r>
    </w:p>
    <w:p w:rsidR="000774D4" w:rsidRDefault="000774D4" w:rsidP="00396615">
      <w:pPr>
        <w:rPr>
          <w:rFonts w:eastAsia="Times New Roman"/>
          <w:szCs w:val="24"/>
          <w:lang w:eastAsia="es-CO"/>
        </w:rPr>
      </w:pPr>
    </w:p>
    <w:p w:rsidR="000774D4" w:rsidRDefault="003B5782" w:rsidP="000774D4">
      <w:pPr>
        <w:rPr>
          <w:rFonts w:eastAsia="Times New Roman"/>
          <w:szCs w:val="24"/>
          <w:lang w:eastAsia="es-CO"/>
        </w:rPr>
      </w:pPr>
      <w:r>
        <w:rPr>
          <w:rFonts w:eastAsia="Times New Roman"/>
          <w:szCs w:val="24"/>
          <w:lang w:eastAsia="es-CO"/>
        </w:rPr>
        <w:t>¿</w:t>
      </w:r>
      <w:r w:rsidR="000774D4">
        <w:rPr>
          <w:rFonts w:eastAsia="Times New Roman"/>
          <w:szCs w:val="24"/>
          <w:lang w:eastAsia="es-CO"/>
        </w:rPr>
        <w:t xml:space="preserve">Cómo se actuaría en estos casos, teniendo en cuenta que el artículo 14 del decreto 2277 de noviembre 6 de 2012 </w:t>
      </w:r>
      <w:r>
        <w:rPr>
          <w:rFonts w:eastAsia="Times New Roman"/>
          <w:szCs w:val="24"/>
          <w:lang w:eastAsia="es-CO"/>
        </w:rPr>
        <w:t xml:space="preserve"> expresa que las retenciones se deben solicitar en el mismo ejercicio fiscal en que le fueron practicadas</w:t>
      </w:r>
      <w:proofErr w:type="gramStart"/>
      <w:r>
        <w:rPr>
          <w:rFonts w:eastAsia="Times New Roman"/>
          <w:szCs w:val="24"/>
          <w:lang w:eastAsia="es-CO"/>
        </w:rPr>
        <w:t>?.</w:t>
      </w:r>
      <w:proofErr w:type="gramEnd"/>
      <w:r>
        <w:rPr>
          <w:rFonts w:eastAsia="Times New Roman"/>
          <w:szCs w:val="24"/>
          <w:lang w:eastAsia="es-CO"/>
        </w:rPr>
        <w:t xml:space="preserve"> </w:t>
      </w:r>
    </w:p>
    <w:p w:rsidR="000774D4" w:rsidRDefault="000774D4" w:rsidP="000774D4">
      <w:pPr>
        <w:rPr>
          <w:rFonts w:eastAsia="Times New Roman"/>
          <w:szCs w:val="24"/>
          <w:lang w:eastAsia="es-CO"/>
        </w:rPr>
      </w:pPr>
    </w:p>
    <w:p w:rsidR="009A7E6B" w:rsidRDefault="003B5782" w:rsidP="003B5782">
      <w:pPr>
        <w:rPr>
          <w:rFonts w:eastAsia="Times New Roman"/>
          <w:szCs w:val="24"/>
          <w:lang w:eastAsia="es-CO"/>
        </w:rPr>
      </w:pPr>
      <w:r w:rsidRPr="003B5782">
        <w:rPr>
          <w:rFonts w:eastAsia="Times New Roman"/>
          <w:b/>
          <w:szCs w:val="24"/>
          <w:lang w:eastAsia="es-CO"/>
        </w:rPr>
        <w:t>12.2</w:t>
      </w:r>
      <w:r>
        <w:rPr>
          <w:rFonts w:eastAsia="Times New Roman"/>
          <w:szCs w:val="24"/>
          <w:lang w:eastAsia="es-CO"/>
        </w:rPr>
        <w:t xml:space="preserve">. Algunas entidades del Estado del orden territorial contrariando la obligación de retener en la fuente bajo el sistema de causación, antes de terminar el año obligan en la firma de contratos la expedición de la factura, hecho que implica que </w:t>
      </w:r>
      <w:r w:rsidR="009A7E6B">
        <w:rPr>
          <w:rFonts w:eastAsia="Times New Roman"/>
          <w:szCs w:val="24"/>
          <w:lang w:eastAsia="es-CO"/>
        </w:rPr>
        <w:t xml:space="preserve">en la declaración del impuesto sobre las ventas del período correspondiente, </w:t>
      </w:r>
      <w:r>
        <w:rPr>
          <w:rFonts w:eastAsia="Times New Roman"/>
          <w:szCs w:val="24"/>
          <w:lang w:eastAsia="es-CO"/>
        </w:rPr>
        <w:t xml:space="preserve">deba declararse en ese período el ingreso gravado, al igual que </w:t>
      </w:r>
      <w:r w:rsidR="009A7E6B">
        <w:rPr>
          <w:rFonts w:eastAsia="Times New Roman"/>
          <w:szCs w:val="24"/>
          <w:lang w:eastAsia="es-CO"/>
        </w:rPr>
        <w:t xml:space="preserve">deba </w:t>
      </w:r>
      <w:r>
        <w:rPr>
          <w:rFonts w:eastAsia="Times New Roman"/>
          <w:szCs w:val="24"/>
          <w:lang w:eastAsia="es-CO"/>
        </w:rPr>
        <w:t xml:space="preserve">causarse el impuesto sobre las ventas por orden del </w:t>
      </w:r>
      <w:r w:rsidR="00DC7C67">
        <w:rPr>
          <w:rFonts w:eastAsia="Times New Roman"/>
          <w:szCs w:val="24"/>
          <w:lang w:eastAsia="es-CO"/>
        </w:rPr>
        <w:t>literal c)  del artículo 429 del Estatuto Tributario que señala como momento de  causación del IVA la fecha  de expedición de la factura, la de  terminación de</w:t>
      </w:r>
      <w:r w:rsidR="009A7E6B">
        <w:rPr>
          <w:rFonts w:eastAsia="Times New Roman"/>
          <w:szCs w:val="24"/>
          <w:lang w:eastAsia="es-CO"/>
        </w:rPr>
        <w:t xml:space="preserve"> la </w:t>
      </w:r>
      <w:r w:rsidR="00DC7C67">
        <w:rPr>
          <w:rFonts w:eastAsia="Times New Roman"/>
          <w:szCs w:val="24"/>
          <w:lang w:eastAsia="es-CO"/>
        </w:rPr>
        <w:t xml:space="preserve"> prestación del servicio o del pago, lo que fuere anterior, pero desde el punto</w:t>
      </w:r>
      <w:r w:rsidR="009A7E6B">
        <w:rPr>
          <w:rFonts w:eastAsia="Times New Roman"/>
          <w:szCs w:val="24"/>
          <w:lang w:eastAsia="es-CO"/>
        </w:rPr>
        <w:t xml:space="preserve"> de vista </w:t>
      </w:r>
      <w:r w:rsidR="00DC7C67">
        <w:rPr>
          <w:rFonts w:eastAsia="Times New Roman"/>
          <w:szCs w:val="24"/>
          <w:lang w:eastAsia="es-CO"/>
        </w:rPr>
        <w:t xml:space="preserve"> del impuesto de renta el ingreso no se ha realizado en los términos del  artículo 26 del E.T y  por ende no debe llevarse en el año fiscal al que corresponde la causación </w:t>
      </w:r>
      <w:r w:rsidR="009A7E6B">
        <w:rPr>
          <w:rFonts w:eastAsia="Times New Roman"/>
          <w:szCs w:val="24"/>
          <w:lang w:eastAsia="es-CO"/>
        </w:rPr>
        <w:t xml:space="preserve">del IVA en los términos del artículo 429 del E.T.?. </w:t>
      </w:r>
    </w:p>
    <w:p w:rsidR="009A7E6B" w:rsidRDefault="009A7E6B" w:rsidP="003B5782">
      <w:pPr>
        <w:rPr>
          <w:rFonts w:eastAsia="Times New Roman"/>
          <w:szCs w:val="24"/>
          <w:lang w:eastAsia="es-CO"/>
        </w:rPr>
      </w:pPr>
    </w:p>
    <w:p w:rsidR="000774D4" w:rsidRPr="000774D4" w:rsidRDefault="009A7E6B" w:rsidP="003B5782">
      <w:pPr>
        <w:rPr>
          <w:rFonts w:eastAsia="Times New Roman"/>
          <w:szCs w:val="24"/>
          <w:lang w:eastAsia="es-CO"/>
        </w:rPr>
      </w:pPr>
      <w:r>
        <w:rPr>
          <w:rFonts w:eastAsia="Times New Roman"/>
          <w:szCs w:val="24"/>
          <w:lang w:eastAsia="es-CO"/>
        </w:rPr>
        <w:lastRenderedPageBreak/>
        <w:t>¿Resultaría correcto entonces causar el impuesto a las ventas en un año fiscal en los términos del literal c) del artículo 429 del E.T. y en uno diferente el ingreso realizado a la declaración de renta</w:t>
      </w:r>
      <w:proofErr w:type="gramStart"/>
      <w:r>
        <w:rPr>
          <w:rFonts w:eastAsia="Times New Roman"/>
          <w:szCs w:val="24"/>
          <w:lang w:eastAsia="es-CO"/>
        </w:rPr>
        <w:t>?.</w:t>
      </w:r>
      <w:proofErr w:type="gramEnd"/>
      <w:r>
        <w:rPr>
          <w:rFonts w:eastAsia="Times New Roman"/>
          <w:szCs w:val="24"/>
          <w:lang w:eastAsia="es-CO"/>
        </w:rPr>
        <w:t xml:space="preserve">  </w:t>
      </w:r>
    </w:p>
    <w:p w:rsidR="00087CCB" w:rsidRDefault="00087CCB" w:rsidP="000774D4">
      <w:pPr>
        <w:ind w:left="567" w:right="567"/>
        <w:rPr>
          <w:rFonts w:eastAsia="Times New Roman"/>
          <w:szCs w:val="24"/>
          <w:lang w:eastAsia="es-CO"/>
        </w:rPr>
      </w:pPr>
    </w:p>
    <w:p w:rsidR="00087CCB" w:rsidRPr="002625CD" w:rsidRDefault="002625CD" w:rsidP="00396615">
      <w:pPr>
        <w:rPr>
          <w:rFonts w:eastAsia="Times New Roman"/>
          <w:b/>
          <w:szCs w:val="24"/>
          <w:lang w:eastAsia="es-CO"/>
        </w:rPr>
      </w:pPr>
      <w:r w:rsidRPr="002625CD">
        <w:rPr>
          <w:rFonts w:eastAsia="Times New Roman"/>
          <w:b/>
          <w:szCs w:val="24"/>
          <w:lang w:eastAsia="es-CO"/>
        </w:rPr>
        <w:t xml:space="preserve">DECIMA TERCERA. </w:t>
      </w:r>
    </w:p>
    <w:p w:rsidR="00F2777B" w:rsidRDefault="00F2777B" w:rsidP="00396615">
      <w:pPr>
        <w:rPr>
          <w:rFonts w:eastAsia="Times New Roman"/>
          <w:szCs w:val="24"/>
          <w:lang w:eastAsia="es-CO"/>
        </w:rPr>
      </w:pPr>
    </w:p>
    <w:p w:rsidR="002625CD" w:rsidRDefault="002625CD" w:rsidP="00396615">
      <w:pPr>
        <w:rPr>
          <w:rFonts w:eastAsia="Times New Roman"/>
          <w:szCs w:val="24"/>
          <w:lang w:eastAsia="es-CO"/>
        </w:rPr>
      </w:pPr>
      <w:r>
        <w:rPr>
          <w:rFonts w:eastAsia="Times New Roman"/>
          <w:szCs w:val="24"/>
          <w:lang w:eastAsia="es-CO"/>
        </w:rPr>
        <w:t>En la exposición de motivos de la ley 1607 de diciembre 26 de 2012 en lo que a Copropiedades se refiere, se expresó que éstas sólo quedarían gravadas con el im</w:t>
      </w:r>
      <w:r w:rsidR="00F256F8">
        <w:rPr>
          <w:rFonts w:eastAsia="Times New Roman"/>
          <w:szCs w:val="24"/>
          <w:lang w:eastAsia="es-CO"/>
        </w:rPr>
        <w:t xml:space="preserve">puesto a la  renta en los ingresos </w:t>
      </w:r>
      <w:r>
        <w:rPr>
          <w:rFonts w:eastAsia="Times New Roman"/>
          <w:szCs w:val="24"/>
          <w:lang w:eastAsia="es-CO"/>
        </w:rPr>
        <w:t xml:space="preserve"> provenientes de la explotación comercial o industrial de áreas comunes, lo que implica que sobre los demás ingresos se conservó la exención en dicho impuesto.</w:t>
      </w:r>
    </w:p>
    <w:p w:rsidR="002625CD" w:rsidRDefault="002625CD" w:rsidP="00396615">
      <w:pPr>
        <w:rPr>
          <w:rFonts w:eastAsia="Times New Roman"/>
          <w:szCs w:val="24"/>
          <w:lang w:eastAsia="es-CO"/>
        </w:rPr>
      </w:pPr>
    </w:p>
    <w:p w:rsidR="002625CD" w:rsidRDefault="002625CD" w:rsidP="00396615">
      <w:pPr>
        <w:rPr>
          <w:rFonts w:eastAsia="Times New Roman"/>
          <w:szCs w:val="24"/>
          <w:lang w:eastAsia="es-CO"/>
        </w:rPr>
      </w:pPr>
      <w:r>
        <w:rPr>
          <w:rFonts w:eastAsia="Times New Roman"/>
          <w:szCs w:val="24"/>
          <w:lang w:eastAsia="es-CO"/>
        </w:rPr>
        <w:t xml:space="preserve">Atendiendo a dicha aclaración que se hiciera en la exposición de motivos, se pregunta: </w:t>
      </w:r>
    </w:p>
    <w:p w:rsidR="002625CD" w:rsidRDefault="002625CD" w:rsidP="00396615">
      <w:pPr>
        <w:rPr>
          <w:rFonts w:eastAsia="Times New Roman"/>
          <w:szCs w:val="24"/>
          <w:lang w:eastAsia="es-CO"/>
        </w:rPr>
      </w:pPr>
    </w:p>
    <w:p w:rsidR="002625CD" w:rsidRDefault="000177FA" w:rsidP="00396615">
      <w:pPr>
        <w:rPr>
          <w:rFonts w:eastAsia="Times New Roman"/>
          <w:szCs w:val="24"/>
          <w:lang w:eastAsia="es-CO"/>
        </w:rPr>
      </w:pPr>
      <w:r>
        <w:rPr>
          <w:rFonts w:eastAsia="Times New Roman"/>
          <w:b/>
          <w:szCs w:val="24"/>
          <w:lang w:eastAsia="es-CO"/>
        </w:rPr>
        <w:t>13</w:t>
      </w:r>
      <w:r w:rsidR="002625CD" w:rsidRPr="000177FA">
        <w:rPr>
          <w:rFonts w:eastAsia="Times New Roman"/>
          <w:b/>
          <w:szCs w:val="24"/>
          <w:lang w:eastAsia="es-CO"/>
        </w:rPr>
        <w:t>.1.</w:t>
      </w:r>
      <w:r w:rsidR="002625CD">
        <w:rPr>
          <w:rFonts w:eastAsia="Times New Roman"/>
          <w:szCs w:val="24"/>
          <w:lang w:eastAsia="es-CO"/>
        </w:rPr>
        <w:t xml:space="preserve"> </w:t>
      </w:r>
      <w:r w:rsidR="00491B56">
        <w:rPr>
          <w:rFonts w:eastAsia="Times New Roman"/>
          <w:szCs w:val="24"/>
          <w:lang w:eastAsia="es-CO"/>
        </w:rPr>
        <w:t>¿</w:t>
      </w:r>
      <w:r w:rsidR="002625CD">
        <w:rPr>
          <w:rFonts w:eastAsia="Times New Roman"/>
          <w:szCs w:val="24"/>
          <w:lang w:eastAsia="es-CO"/>
        </w:rPr>
        <w:t>Es necesario entonces que las Copropiedades que realicen simultáneamente actividades ind</w:t>
      </w:r>
      <w:r w:rsidR="003D6D75">
        <w:rPr>
          <w:rFonts w:eastAsia="Times New Roman"/>
          <w:szCs w:val="24"/>
          <w:lang w:eastAsia="es-CO"/>
        </w:rPr>
        <w:t xml:space="preserve">ustriales o comerciales lleven a cabo </w:t>
      </w:r>
      <w:r w:rsidR="002625CD">
        <w:rPr>
          <w:rFonts w:eastAsia="Times New Roman"/>
          <w:szCs w:val="24"/>
          <w:lang w:eastAsia="es-CO"/>
        </w:rPr>
        <w:t xml:space="preserve"> dos depuraciones: una con los ingresos no sometidos a impuesto (Cuotas de administración) y otra con los ingresos procedentes de las actividades comercial o industrial y obtener dos beneficios netos o excedentes diferentes y llevar sólo a la declaración de renta </w:t>
      </w:r>
      <w:r w:rsidR="00C974B3">
        <w:rPr>
          <w:rFonts w:eastAsia="Times New Roman"/>
          <w:szCs w:val="24"/>
          <w:lang w:eastAsia="es-CO"/>
        </w:rPr>
        <w:t xml:space="preserve">el segundo, o debe obtenerse solo un beneficio neto o excedente en la forma establecida en los artículos </w:t>
      </w:r>
      <w:r w:rsidR="003D6D75">
        <w:rPr>
          <w:rFonts w:eastAsia="Times New Roman"/>
          <w:szCs w:val="24"/>
          <w:lang w:eastAsia="es-CO"/>
        </w:rPr>
        <w:t xml:space="preserve"> 3º, 4º, 5º, y 8º del decreto 4400 de 2004?. </w:t>
      </w:r>
    </w:p>
    <w:p w:rsidR="003D6D75" w:rsidRDefault="003D6D75" w:rsidP="00396615">
      <w:pPr>
        <w:rPr>
          <w:rFonts w:eastAsia="Times New Roman"/>
          <w:szCs w:val="24"/>
          <w:lang w:eastAsia="es-CO"/>
        </w:rPr>
      </w:pPr>
    </w:p>
    <w:p w:rsidR="00026D27" w:rsidRDefault="000177FA" w:rsidP="00396615">
      <w:pPr>
        <w:rPr>
          <w:rFonts w:eastAsia="Times New Roman"/>
          <w:szCs w:val="24"/>
          <w:lang w:eastAsia="es-CO"/>
        </w:rPr>
      </w:pPr>
      <w:r>
        <w:rPr>
          <w:rFonts w:eastAsia="Times New Roman"/>
          <w:b/>
          <w:szCs w:val="24"/>
          <w:lang w:eastAsia="es-CO"/>
        </w:rPr>
        <w:t>13</w:t>
      </w:r>
      <w:r w:rsidR="003D6D75" w:rsidRPr="000177FA">
        <w:rPr>
          <w:rFonts w:eastAsia="Times New Roman"/>
          <w:b/>
          <w:szCs w:val="24"/>
          <w:lang w:eastAsia="es-CO"/>
        </w:rPr>
        <w:t>.2</w:t>
      </w:r>
      <w:r w:rsidR="003D6D75">
        <w:rPr>
          <w:rFonts w:eastAsia="Times New Roman"/>
          <w:szCs w:val="24"/>
          <w:lang w:eastAsia="es-CO"/>
        </w:rPr>
        <w:t xml:space="preserve">. Si la respuesta es que sólo se obtiene un excedente, tal como lo da entender la Subdirección de Gestión Normativa y Doctrina en el Oficio No. </w:t>
      </w:r>
      <w:r w:rsidR="00026D27">
        <w:rPr>
          <w:rFonts w:eastAsia="Times New Roman"/>
          <w:szCs w:val="24"/>
          <w:lang w:eastAsia="es-CO"/>
        </w:rPr>
        <w:t>055853 de Septiembre 4 de 2013, se pregunta entonces como debe invertir en el año siguiente la Copropiedad el beneficio neto obtenido en el año anterior, si en el caso de éstas, los sobrantes en la ejecución del presupuesto, se utilizan en el año siguiente para cubrir gastos necesarios en la administración de aquella</w:t>
      </w:r>
      <w:proofErr w:type="gramStart"/>
      <w:r w:rsidR="00026D27">
        <w:rPr>
          <w:rFonts w:eastAsia="Times New Roman"/>
          <w:szCs w:val="24"/>
          <w:lang w:eastAsia="es-CO"/>
        </w:rPr>
        <w:t>?.</w:t>
      </w:r>
      <w:proofErr w:type="gramEnd"/>
      <w:r w:rsidR="00026D27">
        <w:rPr>
          <w:rFonts w:eastAsia="Times New Roman"/>
          <w:szCs w:val="24"/>
          <w:lang w:eastAsia="es-CO"/>
        </w:rPr>
        <w:t xml:space="preserve"> </w:t>
      </w:r>
    </w:p>
    <w:p w:rsidR="00026D27" w:rsidRDefault="00026D27" w:rsidP="00396615">
      <w:pPr>
        <w:rPr>
          <w:rFonts w:eastAsia="Times New Roman"/>
          <w:szCs w:val="24"/>
          <w:lang w:eastAsia="es-CO"/>
        </w:rPr>
      </w:pPr>
    </w:p>
    <w:p w:rsidR="003D6D75" w:rsidRDefault="000177FA" w:rsidP="00396615">
      <w:pPr>
        <w:rPr>
          <w:rFonts w:eastAsia="Times New Roman"/>
          <w:szCs w:val="24"/>
          <w:lang w:eastAsia="es-CO"/>
        </w:rPr>
      </w:pPr>
      <w:r>
        <w:rPr>
          <w:rFonts w:eastAsia="Times New Roman"/>
          <w:b/>
          <w:szCs w:val="24"/>
          <w:lang w:eastAsia="es-CO"/>
        </w:rPr>
        <w:t>13</w:t>
      </w:r>
      <w:r w:rsidR="00026D27" w:rsidRPr="000177FA">
        <w:rPr>
          <w:rFonts w:eastAsia="Times New Roman"/>
          <w:b/>
          <w:szCs w:val="24"/>
          <w:lang w:eastAsia="es-CO"/>
        </w:rPr>
        <w:t>.3.</w:t>
      </w:r>
      <w:r w:rsidR="00026D27">
        <w:rPr>
          <w:rFonts w:eastAsia="Times New Roman"/>
          <w:szCs w:val="24"/>
          <w:lang w:eastAsia="es-CO"/>
        </w:rPr>
        <w:t xml:space="preserve"> </w:t>
      </w:r>
      <w:r w:rsidR="003D6D75">
        <w:rPr>
          <w:rFonts w:eastAsia="Times New Roman"/>
          <w:szCs w:val="24"/>
          <w:lang w:eastAsia="es-CO"/>
        </w:rPr>
        <w:t xml:space="preserve"> </w:t>
      </w:r>
      <w:r w:rsidR="0082610E">
        <w:rPr>
          <w:rFonts w:eastAsia="Times New Roman"/>
          <w:szCs w:val="24"/>
          <w:lang w:eastAsia="es-CO"/>
        </w:rPr>
        <w:t>Có</w:t>
      </w:r>
      <w:r w:rsidR="0003002E">
        <w:rPr>
          <w:rFonts w:eastAsia="Times New Roman"/>
          <w:szCs w:val="24"/>
          <w:lang w:eastAsia="es-CO"/>
        </w:rPr>
        <w:t xml:space="preserve">mo se procedería en el caso  de egresos no procedentes, cuando unos se relacionen con los ingresos de la actividad propia y otros con la actividad comercial. Sobre ambos se debe pagar el 20% en los términos del </w:t>
      </w:r>
      <w:r w:rsidR="0082610E">
        <w:rPr>
          <w:rFonts w:eastAsia="Times New Roman"/>
          <w:szCs w:val="24"/>
          <w:lang w:eastAsia="es-CO"/>
        </w:rPr>
        <w:t>inciso segundo del parágrafo del artículo 8º del decreto 4400 de 2004’</w:t>
      </w:r>
      <w:proofErr w:type="gramStart"/>
      <w:r w:rsidR="0082610E">
        <w:rPr>
          <w:rFonts w:eastAsia="Times New Roman"/>
          <w:szCs w:val="24"/>
          <w:lang w:eastAsia="es-CO"/>
        </w:rPr>
        <w:t>?.</w:t>
      </w:r>
      <w:proofErr w:type="gramEnd"/>
      <w:r w:rsidR="0082610E">
        <w:rPr>
          <w:rFonts w:eastAsia="Times New Roman"/>
          <w:szCs w:val="24"/>
          <w:lang w:eastAsia="es-CO"/>
        </w:rPr>
        <w:t xml:space="preserve"> Se gravarían con el 20% sólo los egresos no procedentes que afecten en forma directa los ingresos de la actividad no comercial, o todos sin importar a qué actividad afectan </w:t>
      </w:r>
      <w:proofErr w:type="gramStart"/>
      <w:r w:rsidR="0082610E">
        <w:rPr>
          <w:rFonts w:eastAsia="Times New Roman"/>
          <w:szCs w:val="24"/>
          <w:lang w:eastAsia="es-CO"/>
        </w:rPr>
        <w:t>?.</w:t>
      </w:r>
      <w:proofErr w:type="gramEnd"/>
      <w:r w:rsidR="0082610E">
        <w:rPr>
          <w:rFonts w:eastAsia="Times New Roman"/>
          <w:szCs w:val="24"/>
          <w:lang w:eastAsia="es-CO"/>
        </w:rPr>
        <w:t xml:space="preserve"> </w:t>
      </w:r>
    </w:p>
    <w:p w:rsidR="0082610E" w:rsidRDefault="0082610E" w:rsidP="00396615">
      <w:pPr>
        <w:rPr>
          <w:rFonts w:eastAsia="Times New Roman"/>
          <w:szCs w:val="24"/>
          <w:lang w:eastAsia="es-CO"/>
        </w:rPr>
      </w:pPr>
    </w:p>
    <w:p w:rsidR="00581D2C" w:rsidRDefault="000177FA" w:rsidP="00396615">
      <w:pPr>
        <w:rPr>
          <w:rFonts w:eastAsia="Times New Roman"/>
          <w:szCs w:val="24"/>
          <w:lang w:eastAsia="es-CO"/>
        </w:rPr>
      </w:pPr>
      <w:r>
        <w:rPr>
          <w:rFonts w:eastAsia="Times New Roman"/>
          <w:b/>
          <w:szCs w:val="24"/>
          <w:lang w:eastAsia="es-CO"/>
        </w:rPr>
        <w:lastRenderedPageBreak/>
        <w:t>13</w:t>
      </w:r>
      <w:r w:rsidR="0082610E" w:rsidRPr="00581D2C">
        <w:rPr>
          <w:rFonts w:eastAsia="Times New Roman"/>
          <w:b/>
          <w:szCs w:val="24"/>
          <w:lang w:eastAsia="es-CO"/>
        </w:rPr>
        <w:t>.4</w:t>
      </w:r>
      <w:r w:rsidR="0082610E">
        <w:rPr>
          <w:rFonts w:eastAsia="Times New Roman"/>
          <w:szCs w:val="24"/>
          <w:lang w:eastAsia="es-CO"/>
        </w:rPr>
        <w:t xml:space="preserve">. En el caso del gravamen a los movimientos financieros que afectan a las actividades no exoneradas de este impuesto, se puede solicitar como deducción el 50% en los términos del </w:t>
      </w:r>
      <w:r w:rsidR="00450C68">
        <w:rPr>
          <w:rFonts w:eastAsia="Times New Roman"/>
          <w:szCs w:val="24"/>
          <w:lang w:eastAsia="es-CO"/>
        </w:rPr>
        <w:t xml:space="preserve">inciso segundo del artículo </w:t>
      </w:r>
      <w:r w:rsidR="00581D2C">
        <w:rPr>
          <w:rFonts w:eastAsia="Times New Roman"/>
          <w:szCs w:val="24"/>
          <w:lang w:eastAsia="es-CO"/>
        </w:rPr>
        <w:t>115 del E.T.</w:t>
      </w:r>
      <w:proofErr w:type="gramStart"/>
      <w:r w:rsidR="00581D2C">
        <w:rPr>
          <w:rFonts w:eastAsia="Times New Roman"/>
          <w:szCs w:val="24"/>
          <w:lang w:eastAsia="es-CO"/>
        </w:rPr>
        <w:t>?</w:t>
      </w:r>
      <w:proofErr w:type="gramEnd"/>
    </w:p>
    <w:p w:rsidR="00581D2C" w:rsidRDefault="00581D2C" w:rsidP="00396615">
      <w:pPr>
        <w:rPr>
          <w:rFonts w:eastAsia="Times New Roman"/>
          <w:szCs w:val="24"/>
          <w:lang w:eastAsia="es-CO"/>
        </w:rPr>
      </w:pPr>
    </w:p>
    <w:p w:rsidR="00581D2C" w:rsidRDefault="000177FA" w:rsidP="00396615">
      <w:pPr>
        <w:rPr>
          <w:rFonts w:eastAsia="Times New Roman"/>
          <w:b/>
          <w:szCs w:val="24"/>
          <w:lang w:eastAsia="es-CO"/>
        </w:rPr>
      </w:pPr>
      <w:r>
        <w:rPr>
          <w:rFonts w:eastAsia="Times New Roman"/>
          <w:b/>
          <w:szCs w:val="24"/>
          <w:lang w:eastAsia="es-CO"/>
        </w:rPr>
        <w:t>13</w:t>
      </w:r>
      <w:r w:rsidR="00581D2C" w:rsidRPr="00581D2C">
        <w:rPr>
          <w:rFonts w:eastAsia="Times New Roman"/>
          <w:b/>
          <w:szCs w:val="24"/>
          <w:lang w:eastAsia="es-CO"/>
        </w:rPr>
        <w:t>.5</w:t>
      </w:r>
      <w:r w:rsidR="00581D2C" w:rsidRPr="00814673">
        <w:rPr>
          <w:rFonts w:eastAsia="Times New Roman"/>
          <w:szCs w:val="24"/>
          <w:lang w:eastAsia="es-CO"/>
        </w:rPr>
        <w:t xml:space="preserve">. </w:t>
      </w:r>
      <w:r w:rsidR="00B35708" w:rsidRPr="00814673">
        <w:rPr>
          <w:rFonts w:eastAsia="Times New Roman"/>
          <w:szCs w:val="24"/>
          <w:lang w:eastAsia="es-CO"/>
        </w:rPr>
        <w:t xml:space="preserve">La Subdirección de Gestión Normativa y Doctrina en el Oficio No. 055853 del 4 de Septiembre de 2013, en la parte final en cuanto a la obligación de las Copropiedades de hacer firmar las declaraciones tributarias de Revisor Fiscal, señala que cuando de acuerdo a las normas del Código de Comercio se esté en la obligación de tener revisor fiscal, </w:t>
      </w:r>
      <w:r w:rsidR="00EA1A74">
        <w:rPr>
          <w:rFonts w:eastAsia="Times New Roman"/>
          <w:szCs w:val="24"/>
          <w:lang w:eastAsia="es-CO"/>
        </w:rPr>
        <w:t>es obligatoria la firma de éste.</w:t>
      </w:r>
    </w:p>
    <w:p w:rsidR="00B35708" w:rsidRDefault="00B35708" w:rsidP="00396615">
      <w:pPr>
        <w:rPr>
          <w:rFonts w:eastAsia="Times New Roman"/>
          <w:b/>
          <w:szCs w:val="24"/>
          <w:lang w:eastAsia="es-CO"/>
        </w:rPr>
      </w:pPr>
    </w:p>
    <w:p w:rsidR="00B35708" w:rsidRPr="006B6ADD" w:rsidRDefault="00B35708" w:rsidP="00396615">
      <w:pPr>
        <w:rPr>
          <w:rFonts w:eastAsia="Times New Roman"/>
          <w:b/>
          <w:szCs w:val="24"/>
          <w:lang w:eastAsia="es-CO"/>
        </w:rPr>
      </w:pPr>
      <w:r w:rsidRPr="006B6ADD">
        <w:rPr>
          <w:rFonts w:eastAsia="Times New Roman"/>
          <w:b/>
          <w:szCs w:val="24"/>
          <w:lang w:eastAsia="es-CO"/>
        </w:rPr>
        <w:t>Sin embargo, hay que  tener en cuenta que las Copropiedades no son sociedades y que por lo tanto no se rigen por el C</w:t>
      </w:r>
      <w:r w:rsidR="00814673">
        <w:rPr>
          <w:rFonts w:eastAsia="Times New Roman"/>
          <w:b/>
          <w:szCs w:val="24"/>
          <w:lang w:eastAsia="es-CO"/>
        </w:rPr>
        <w:t xml:space="preserve">ódigo de Comercio, tal como la misma Oficina Jurídica de la Dian lo señala en el Concepto No. 018792 de marzo 8 de 2001 la expresar: </w:t>
      </w:r>
    </w:p>
    <w:p w:rsidR="00B35708" w:rsidRPr="006B6ADD" w:rsidRDefault="00B35708" w:rsidP="00396615">
      <w:pPr>
        <w:rPr>
          <w:rFonts w:eastAsia="Times New Roman"/>
          <w:b/>
          <w:szCs w:val="24"/>
          <w:lang w:eastAsia="es-CO"/>
        </w:rPr>
      </w:pPr>
    </w:p>
    <w:p w:rsidR="00B35708" w:rsidRPr="006B6ADD" w:rsidRDefault="006B6ADD" w:rsidP="00396615">
      <w:pPr>
        <w:rPr>
          <w:rFonts w:eastAsia="Times New Roman"/>
          <w:b/>
          <w:szCs w:val="24"/>
          <w:lang w:eastAsia="es-CO"/>
        </w:rPr>
      </w:pPr>
      <w:r w:rsidRPr="006B6ADD">
        <w:rPr>
          <w:rFonts w:eastAsia="Times New Roman"/>
          <w:b/>
          <w:szCs w:val="24"/>
          <w:lang w:eastAsia="es-CO"/>
        </w:rPr>
        <w:t xml:space="preserve">         “(………) </w:t>
      </w:r>
    </w:p>
    <w:p w:rsidR="00581D2C" w:rsidRPr="006B6ADD" w:rsidRDefault="006B6ADD" w:rsidP="006B6ADD">
      <w:pPr>
        <w:ind w:left="567" w:right="567"/>
        <w:rPr>
          <w:rFonts w:eastAsia="Times New Roman"/>
          <w:szCs w:val="24"/>
          <w:lang w:eastAsia="es-CO"/>
        </w:rPr>
      </w:pPr>
      <w:r w:rsidRPr="006B6ADD">
        <w:rPr>
          <w:rFonts w:eastAsia="Calibri"/>
          <w:szCs w:val="24"/>
        </w:rPr>
        <w:t>Teniendo en cuenta las disposiciones señaladas, en especial las del estatuto tributario, una entidad sin ánimo de lucro no está obligada a firmar sus declaraciones tributarias por revisor fiscal, por no corresponder a entidades comerciales. Puede ser que algunas entidades no comerciales estén obligadas a tener revisor fiscal para efectos de control, pero para efectos tributarios no tiene influencia</w:t>
      </w:r>
      <w:r w:rsidRPr="006B6ADD">
        <w:rPr>
          <w:rFonts w:eastAsia="Calibri"/>
          <w:b/>
          <w:szCs w:val="24"/>
        </w:rPr>
        <w:t>…..”</w:t>
      </w:r>
    </w:p>
    <w:p w:rsidR="0082610E" w:rsidRPr="006B6ADD" w:rsidRDefault="0082610E" w:rsidP="006B6ADD">
      <w:pPr>
        <w:ind w:left="567" w:right="567"/>
        <w:rPr>
          <w:rFonts w:eastAsia="Times New Roman"/>
          <w:szCs w:val="24"/>
          <w:lang w:eastAsia="es-CO"/>
        </w:rPr>
      </w:pPr>
      <w:r w:rsidRPr="006B6ADD">
        <w:rPr>
          <w:rFonts w:eastAsia="Times New Roman"/>
          <w:szCs w:val="24"/>
          <w:lang w:eastAsia="es-CO"/>
        </w:rPr>
        <w:t xml:space="preserve"> </w:t>
      </w:r>
    </w:p>
    <w:p w:rsidR="004F27B9" w:rsidRDefault="00814673" w:rsidP="00396615">
      <w:pPr>
        <w:rPr>
          <w:rFonts w:eastAsia="Times New Roman"/>
          <w:szCs w:val="24"/>
          <w:lang w:eastAsia="es-CO"/>
        </w:rPr>
      </w:pPr>
      <w:r w:rsidRPr="00814673">
        <w:rPr>
          <w:rFonts w:eastAsia="Times New Roman"/>
          <w:b/>
          <w:szCs w:val="24"/>
          <w:lang w:eastAsia="es-CO"/>
        </w:rPr>
        <w:t>PREGUNTA</w:t>
      </w:r>
      <w:r>
        <w:rPr>
          <w:rFonts w:eastAsia="Times New Roman"/>
          <w:szCs w:val="24"/>
          <w:lang w:eastAsia="es-CO"/>
        </w:rPr>
        <w:t xml:space="preserve">: </w:t>
      </w:r>
    </w:p>
    <w:p w:rsidR="004F27B9" w:rsidRDefault="004F27B9" w:rsidP="00396615">
      <w:pPr>
        <w:rPr>
          <w:rFonts w:eastAsia="Times New Roman"/>
          <w:szCs w:val="24"/>
          <w:lang w:eastAsia="es-CO"/>
        </w:rPr>
      </w:pPr>
    </w:p>
    <w:p w:rsidR="0082610E" w:rsidRDefault="00814673" w:rsidP="00396615">
      <w:pPr>
        <w:rPr>
          <w:rFonts w:eastAsia="Times New Roman"/>
          <w:szCs w:val="24"/>
          <w:lang w:eastAsia="es-CO"/>
        </w:rPr>
      </w:pPr>
      <w:r>
        <w:rPr>
          <w:rFonts w:eastAsia="Times New Roman"/>
          <w:szCs w:val="24"/>
          <w:lang w:eastAsia="es-CO"/>
        </w:rPr>
        <w:t xml:space="preserve">Se encuentra vigente el concepto No. 018792 de marzo 8 de 2001 en cuanto a que las entidades sin ánimo de lucro (dentro de las cuales se encuentran las copropiedades) no está obligadas a firmar sus declaraciones tributarias por revisor fiscal, o cuál fue la razón para que en el Oficio No. 055853 de  Septiembre 4 de 2013 </w:t>
      </w:r>
      <w:r w:rsidR="004F27B9">
        <w:rPr>
          <w:rFonts w:eastAsia="Times New Roman"/>
          <w:szCs w:val="24"/>
          <w:lang w:eastAsia="es-CO"/>
        </w:rPr>
        <w:t>se hiciera mención del Código de Comercio si el tema tratado era el de las Copropiedades</w:t>
      </w:r>
      <w:proofErr w:type="gramStart"/>
      <w:r w:rsidR="004F27B9">
        <w:rPr>
          <w:rFonts w:eastAsia="Times New Roman"/>
          <w:szCs w:val="24"/>
          <w:lang w:eastAsia="es-CO"/>
        </w:rPr>
        <w:t>?.</w:t>
      </w:r>
      <w:proofErr w:type="gramEnd"/>
      <w:r w:rsidR="004F27B9">
        <w:rPr>
          <w:rFonts w:eastAsia="Times New Roman"/>
          <w:szCs w:val="24"/>
          <w:lang w:eastAsia="es-CO"/>
        </w:rPr>
        <w:t xml:space="preserve"> </w:t>
      </w:r>
    </w:p>
    <w:p w:rsidR="004F27B9" w:rsidRDefault="004F27B9" w:rsidP="00396615">
      <w:pPr>
        <w:rPr>
          <w:rFonts w:eastAsia="Times New Roman"/>
          <w:szCs w:val="24"/>
          <w:lang w:eastAsia="es-CO"/>
        </w:rPr>
      </w:pPr>
    </w:p>
    <w:p w:rsidR="004F27B9" w:rsidRDefault="008E4483" w:rsidP="00396615">
      <w:pPr>
        <w:rPr>
          <w:rFonts w:eastAsia="Times New Roman"/>
          <w:szCs w:val="24"/>
          <w:lang w:eastAsia="es-CO"/>
        </w:rPr>
      </w:pPr>
      <w:r w:rsidRPr="008E4483">
        <w:rPr>
          <w:rFonts w:eastAsia="Times New Roman"/>
          <w:b/>
          <w:szCs w:val="24"/>
          <w:lang w:eastAsia="es-CO"/>
        </w:rPr>
        <w:t>13</w:t>
      </w:r>
      <w:r w:rsidR="004F27B9" w:rsidRPr="008E4483">
        <w:rPr>
          <w:rFonts w:eastAsia="Times New Roman"/>
          <w:b/>
          <w:szCs w:val="24"/>
          <w:lang w:eastAsia="es-CO"/>
        </w:rPr>
        <w:t>.6.</w:t>
      </w:r>
      <w:r w:rsidR="004F27B9">
        <w:rPr>
          <w:rFonts w:eastAsia="Times New Roman"/>
          <w:szCs w:val="24"/>
          <w:lang w:eastAsia="es-CO"/>
        </w:rPr>
        <w:t xml:space="preserve"> En el caso de las entidades del numeral 1º del artículo 19 del E.T. es requisito crear un fondo a diciembre 31 del año, una vez establecido el Beneficio Net</w:t>
      </w:r>
      <w:r w:rsidR="00EA1A74">
        <w:rPr>
          <w:rFonts w:eastAsia="Times New Roman"/>
          <w:szCs w:val="24"/>
          <w:lang w:eastAsia="es-CO"/>
        </w:rPr>
        <w:t>o o Excedente, con el fin de</w:t>
      </w:r>
      <w:r w:rsidR="004F27B9">
        <w:rPr>
          <w:rFonts w:eastAsia="Times New Roman"/>
          <w:szCs w:val="24"/>
          <w:lang w:eastAsia="es-CO"/>
        </w:rPr>
        <w:t xml:space="preserve"> ejecutarlo en el año siguiente en cumplimiento de lo dispuesto en el artículo  </w:t>
      </w:r>
      <w:r w:rsidR="0035026E">
        <w:rPr>
          <w:rFonts w:eastAsia="Times New Roman"/>
          <w:szCs w:val="24"/>
          <w:lang w:eastAsia="es-CO"/>
        </w:rPr>
        <w:t>358 del E.T, o dicho beneficio se pude ejecutar en el año siguiente bajo una cuenta separada dentro del Estado de Resultados</w:t>
      </w:r>
      <w:proofErr w:type="gramStart"/>
      <w:r w:rsidR="0035026E">
        <w:rPr>
          <w:rFonts w:eastAsia="Times New Roman"/>
          <w:szCs w:val="24"/>
          <w:lang w:eastAsia="es-CO"/>
        </w:rPr>
        <w:t>?.</w:t>
      </w:r>
      <w:proofErr w:type="gramEnd"/>
      <w:r w:rsidR="0035026E">
        <w:rPr>
          <w:rFonts w:eastAsia="Times New Roman"/>
          <w:szCs w:val="24"/>
          <w:lang w:eastAsia="es-CO"/>
        </w:rPr>
        <w:t xml:space="preserve"> </w:t>
      </w:r>
    </w:p>
    <w:p w:rsidR="0035026E" w:rsidRDefault="0035026E" w:rsidP="00396615">
      <w:pPr>
        <w:rPr>
          <w:rFonts w:eastAsia="Times New Roman"/>
          <w:szCs w:val="24"/>
          <w:lang w:eastAsia="es-CO"/>
        </w:rPr>
      </w:pPr>
    </w:p>
    <w:p w:rsidR="0035026E" w:rsidRPr="00850D4D" w:rsidRDefault="008E4483" w:rsidP="00396615">
      <w:pPr>
        <w:rPr>
          <w:rFonts w:eastAsia="Times New Roman"/>
          <w:b/>
          <w:szCs w:val="24"/>
          <w:lang w:eastAsia="es-CO"/>
        </w:rPr>
      </w:pPr>
      <w:r w:rsidRPr="008E4483">
        <w:rPr>
          <w:rFonts w:eastAsia="Times New Roman"/>
          <w:b/>
          <w:szCs w:val="24"/>
          <w:lang w:eastAsia="es-CO"/>
        </w:rPr>
        <w:lastRenderedPageBreak/>
        <w:t>13</w:t>
      </w:r>
      <w:r w:rsidR="0035026E" w:rsidRPr="008E4483">
        <w:rPr>
          <w:rFonts w:eastAsia="Times New Roman"/>
          <w:b/>
          <w:szCs w:val="24"/>
          <w:lang w:eastAsia="es-CO"/>
        </w:rPr>
        <w:t>.7</w:t>
      </w:r>
      <w:r w:rsidR="0035026E">
        <w:rPr>
          <w:rFonts w:eastAsia="Times New Roman"/>
          <w:szCs w:val="24"/>
          <w:lang w:eastAsia="es-CO"/>
        </w:rPr>
        <w:t xml:space="preserve">. ¿La palabra </w:t>
      </w:r>
      <w:r w:rsidR="0035026E" w:rsidRPr="00850D4D">
        <w:rPr>
          <w:rFonts w:eastAsia="Times New Roman"/>
          <w:b/>
          <w:szCs w:val="24"/>
          <w:lang w:eastAsia="es-CO"/>
        </w:rPr>
        <w:t>“indirectamente” enunciada en el artículo 358 del E.T</w:t>
      </w:r>
      <w:r w:rsidR="00850D4D">
        <w:rPr>
          <w:rFonts w:eastAsia="Times New Roman"/>
          <w:szCs w:val="24"/>
          <w:lang w:eastAsia="es-CO"/>
        </w:rPr>
        <w:t xml:space="preserve"> có</w:t>
      </w:r>
      <w:r w:rsidR="0035026E">
        <w:rPr>
          <w:rFonts w:eastAsia="Times New Roman"/>
          <w:szCs w:val="24"/>
          <w:lang w:eastAsia="es-CO"/>
        </w:rPr>
        <w:t>mo debe entenderse</w:t>
      </w:r>
      <w:proofErr w:type="gramStart"/>
      <w:r w:rsidR="0035026E">
        <w:rPr>
          <w:rFonts w:eastAsia="Times New Roman"/>
          <w:szCs w:val="24"/>
          <w:lang w:eastAsia="es-CO"/>
        </w:rPr>
        <w:t>?.</w:t>
      </w:r>
      <w:proofErr w:type="gramEnd"/>
      <w:r w:rsidR="0035026E">
        <w:rPr>
          <w:rFonts w:eastAsia="Times New Roman"/>
          <w:szCs w:val="24"/>
          <w:lang w:eastAsia="es-CO"/>
        </w:rPr>
        <w:t xml:space="preserve"> </w:t>
      </w:r>
      <w:r w:rsidR="0035026E" w:rsidRPr="00850D4D">
        <w:rPr>
          <w:rFonts w:eastAsia="Times New Roman"/>
          <w:b/>
          <w:szCs w:val="24"/>
          <w:lang w:eastAsia="es-CO"/>
        </w:rPr>
        <w:t>Como se entendería una destinación indirecta del beneficio</w:t>
      </w:r>
      <w:proofErr w:type="gramStart"/>
      <w:r w:rsidR="0035026E" w:rsidRPr="00850D4D">
        <w:rPr>
          <w:rFonts w:eastAsia="Times New Roman"/>
          <w:b/>
          <w:szCs w:val="24"/>
          <w:lang w:eastAsia="es-CO"/>
        </w:rPr>
        <w:t>?.</w:t>
      </w:r>
      <w:proofErr w:type="gramEnd"/>
      <w:r w:rsidR="0035026E" w:rsidRPr="00850D4D">
        <w:rPr>
          <w:rFonts w:eastAsia="Times New Roman"/>
          <w:b/>
          <w:szCs w:val="24"/>
          <w:lang w:eastAsia="es-CO"/>
        </w:rPr>
        <w:t xml:space="preserve"> </w:t>
      </w:r>
    </w:p>
    <w:p w:rsidR="00B270E9" w:rsidRDefault="00B270E9" w:rsidP="00396615">
      <w:pPr>
        <w:rPr>
          <w:rFonts w:eastAsia="Times New Roman"/>
          <w:szCs w:val="24"/>
          <w:lang w:eastAsia="es-CO"/>
        </w:rPr>
      </w:pPr>
    </w:p>
    <w:p w:rsidR="00B270E9" w:rsidRPr="00B270E9" w:rsidRDefault="00B270E9" w:rsidP="00396615">
      <w:pPr>
        <w:rPr>
          <w:rFonts w:eastAsia="Times New Roman"/>
          <w:b/>
          <w:szCs w:val="24"/>
          <w:lang w:eastAsia="es-CO"/>
        </w:rPr>
      </w:pPr>
      <w:r w:rsidRPr="00B270E9">
        <w:rPr>
          <w:rFonts w:eastAsia="Times New Roman"/>
          <w:b/>
          <w:szCs w:val="24"/>
          <w:lang w:eastAsia="es-CO"/>
        </w:rPr>
        <w:t xml:space="preserve">DECIMA CUARTA: </w:t>
      </w:r>
    </w:p>
    <w:p w:rsidR="00B270E9" w:rsidRDefault="00B270E9" w:rsidP="00396615">
      <w:pPr>
        <w:rPr>
          <w:rFonts w:eastAsia="Times New Roman"/>
          <w:szCs w:val="24"/>
          <w:lang w:eastAsia="es-CO"/>
        </w:rPr>
      </w:pPr>
    </w:p>
    <w:p w:rsidR="00491B56" w:rsidRDefault="00A034D4" w:rsidP="00396615">
      <w:pPr>
        <w:rPr>
          <w:rFonts w:eastAsia="Times New Roman"/>
          <w:szCs w:val="24"/>
          <w:lang w:eastAsia="es-CO"/>
        </w:rPr>
      </w:pPr>
      <w:r>
        <w:rPr>
          <w:rFonts w:eastAsia="Times New Roman"/>
          <w:szCs w:val="24"/>
          <w:lang w:eastAsia="es-CO"/>
        </w:rPr>
        <w:t>El artículo 10 de la ley 79 de 1.988 no permite distribuir el beneficio neto o excedente obtenido de las Cooperativas proveniente de la prestación de servicios a no asociados.</w:t>
      </w:r>
    </w:p>
    <w:p w:rsidR="00850D4D" w:rsidRDefault="00850D4D" w:rsidP="00396615">
      <w:pPr>
        <w:rPr>
          <w:rFonts w:eastAsia="Times New Roman"/>
          <w:szCs w:val="24"/>
          <w:lang w:eastAsia="es-CO"/>
        </w:rPr>
      </w:pPr>
    </w:p>
    <w:p w:rsidR="00A034D4" w:rsidRDefault="00A034D4" w:rsidP="00396615">
      <w:pPr>
        <w:rPr>
          <w:rFonts w:eastAsia="Times New Roman"/>
          <w:szCs w:val="24"/>
          <w:lang w:eastAsia="es-CO"/>
        </w:rPr>
      </w:pPr>
      <w:r>
        <w:rPr>
          <w:rFonts w:eastAsia="Times New Roman"/>
          <w:szCs w:val="24"/>
          <w:lang w:eastAsia="es-CO"/>
        </w:rPr>
        <w:t xml:space="preserve">Al respecto expresa dicho artículo: </w:t>
      </w:r>
    </w:p>
    <w:p w:rsidR="00A034D4" w:rsidRDefault="00A034D4" w:rsidP="00396615">
      <w:pPr>
        <w:rPr>
          <w:rFonts w:eastAsia="Times New Roman"/>
          <w:szCs w:val="24"/>
          <w:lang w:eastAsia="es-CO"/>
        </w:rPr>
      </w:pPr>
    </w:p>
    <w:p w:rsidR="00A034D4" w:rsidRDefault="00A034D4" w:rsidP="00396615">
      <w:pPr>
        <w:rPr>
          <w:rFonts w:eastAsia="Times New Roman"/>
          <w:szCs w:val="24"/>
          <w:lang w:eastAsia="es-CO"/>
        </w:rPr>
      </w:pPr>
    </w:p>
    <w:p w:rsidR="00A034D4" w:rsidRPr="00A034D4" w:rsidRDefault="00A034D4" w:rsidP="00A034D4">
      <w:pPr>
        <w:overflowPunct w:val="0"/>
        <w:autoSpaceDE w:val="0"/>
        <w:autoSpaceDN w:val="0"/>
        <w:adjustRightInd w:val="0"/>
        <w:ind w:left="567" w:right="567"/>
        <w:rPr>
          <w:rFonts w:eastAsia="Times New Roman"/>
          <w:b/>
          <w:szCs w:val="20"/>
          <w:lang w:val="es-ES_tradnl" w:eastAsia="es-ES"/>
        </w:rPr>
      </w:pPr>
      <w:r>
        <w:rPr>
          <w:rFonts w:eastAsia="Times New Roman"/>
          <w:b/>
          <w:szCs w:val="24"/>
          <w:lang w:eastAsia="es-ES"/>
        </w:rPr>
        <w:t>“</w:t>
      </w:r>
      <w:r w:rsidR="00F620E3">
        <w:rPr>
          <w:rFonts w:eastAsia="Times New Roman"/>
          <w:b/>
          <w:szCs w:val="24"/>
          <w:lang w:eastAsia="es-ES"/>
        </w:rPr>
        <w:t>Artículo 10</w:t>
      </w:r>
      <w:r w:rsidRPr="00A034D4">
        <w:rPr>
          <w:rFonts w:eastAsia="Times New Roman"/>
          <w:szCs w:val="24"/>
          <w:lang w:eastAsia="es-ES"/>
        </w:rPr>
        <w:t xml:space="preserve">. Las cooperativas prestaran preferencialmente sus servicios al personal asociado.  Sin embargo, de acuerdo con sus estatutos podrán extenderlos al público no afiliado, siempre en razón del interés social o del bienestar colectivo.  </w:t>
      </w:r>
      <w:r w:rsidRPr="00A034D4">
        <w:rPr>
          <w:rFonts w:eastAsia="Times New Roman"/>
          <w:b/>
          <w:szCs w:val="24"/>
          <w:lang w:eastAsia="es-ES"/>
        </w:rPr>
        <w:t>En tales casos, los excedentes que se obtengan serán llevados a un fondo social no susceptible de repartición.”</w:t>
      </w:r>
    </w:p>
    <w:p w:rsidR="00A034D4" w:rsidRPr="00A034D4" w:rsidRDefault="00A034D4" w:rsidP="00A034D4">
      <w:pPr>
        <w:ind w:left="567" w:right="567"/>
        <w:rPr>
          <w:rFonts w:eastAsia="Times New Roman"/>
          <w:szCs w:val="24"/>
          <w:lang w:val="es-ES_tradnl" w:eastAsia="es-CO"/>
        </w:rPr>
      </w:pPr>
    </w:p>
    <w:p w:rsidR="00F620E3" w:rsidRDefault="00F620E3" w:rsidP="00F620E3">
      <w:pPr>
        <w:rPr>
          <w:rFonts w:eastAsia="Times New Roman"/>
          <w:szCs w:val="24"/>
          <w:lang w:eastAsia="es-CO"/>
        </w:rPr>
      </w:pPr>
      <w:r>
        <w:rPr>
          <w:rFonts w:eastAsia="Times New Roman"/>
          <w:szCs w:val="24"/>
          <w:lang w:eastAsia="es-CO"/>
        </w:rPr>
        <w:t xml:space="preserve">Por su parte, la Superintendencia de Economía Solidaria en el año 2009 expidió la Circular No. 007 a través de  la cual estableció la forma en que se deben aplicar los excedentes de las Cooperativas. </w:t>
      </w:r>
    </w:p>
    <w:p w:rsidR="00F620E3" w:rsidRDefault="00F620E3" w:rsidP="00F620E3">
      <w:pPr>
        <w:rPr>
          <w:rFonts w:eastAsia="Times New Roman"/>
          <w:szCs w:val="24"/>
          <w:lang w:eastAsia="es-CO"/>
        </w:rPr>
      </w:pPr>
    </w:p>
    <w:p w:rsidR="00F620E3" w:rsidRDefault="00F620E3" w:rsidP="00F620E3">
      <w:pPr>
        <w:rPr>
          <w:rFonts w:eastAsia="Times New Roman"/>
          <w:szCs w:val="24"/>
          <w:lang w:eastAsia="es-CO"/>
        </w:rPr>
      </w:pPr>
      <w:r>
        <w:rPr>
          <w:rFonts w:eastAsia="Times New Roman"/>
          <w:szCs w:val="24"/>
          <w:lang w:eastAsia="es-CO"/>
        </w:rPr>
        <w:t xml:space="preserve">Al respecto expresa la Circular: </w:t>
      </w:r>
    </w:p>
    <w:p w:rsidR="00F620E3" w:rsidRDefault="00F620E3" w:rsidP="00F620E3">
      <w:pPr>
        <w:ind w:left="567" w:right="567"/>
        <w:rPr>
          <w:rFonts w:eastAsia="Times New Roman"/>
          <w:szCs w:val="24"/>
          <w:lang w:eastAsia="es-CO"/>
        </w:rPr>
      </w:pPr>
    </w:p>
    <w:p w:rsidR="00F620E3" w:rsidRPr="00F620E3" w:rsidRDefault="00F620E3" w:rsidP="00F620E3">
      <w:pPr>
        <w:ind w:left="567" w:right="567"/>
        <w:rPr>
          <w:rFonts w:eastAsia="Times New Roman"/>
          <w:b/>
          <w:szCs w:val="24"/>
          <w:lang w:eastAsia="es-CO"/>
        </w:rPr>
      </w:pPr>
      <w:r w:rsidRPr="00F620E3">
        <w:rPr>
          <w:rFonts w:eastAsia="Times New Roman"/>
          <w:b/>
          <w:szCs w:val="24"/>
          <w:lang w:eastAsia="es-CO"/>
        </w:rPr>
        <w:t xml:space="preserve">“2. APLICACIÓN DE EXCEDENTES EN COOPERATIVAS </w:t>
      </w:r>
    </w:p>
    <w:p w:rsidR="00F620E3" w:rsidRPr="00F620E3" w:rsidRDefault="00F620E3" w:rsidP="00F620E3">
      <w:pPr>
        <w:ind w:left="567" w:right="567"/>
        <w:rPr>
          <w:rFonts w:eastAsia="Times New Roman"/>
          <w:szCs w:val="24"/>
          <w:lang w:eastAsia="es-CO"/>
        </w:rPr>
      </w:pPr>
      <w:r w:rsidRPr="00F620E3">
        <w:rPr>
          <w:rFonts w:eastAsia="Times New Roman"/>
          <w:szCs w:val="24"/>
          <w:lang w:eastAsia="es-CO"/>
        </w:rPr>
        <w:t xml:space="preserve"> </w:t>
      </w:r>
    </w:p>
    <w:p w:rsidR="00F620E3" w:rsidRPr="00F620E3" w:rsidRDefault="00F620E3" w:rsidP="00F620E3">
      <w:pPr>
        <w:ind w:left="567" w:right="567"/>
        <w:rPr>
          <w:rFonts w:eastAsia="Times New Roman"/>
          <w:szCs w:val="24"/>
          <w:lang w:eastAsia="es-CO"/>
        </w:rPr>
      </w:pPr>
      <w:r w:rsidRPr="00F620E3">
        <w:rPr>
          <w:rFonts w:eastAsia="Times New Roman"/>
          <w:szCs w:val="24"/>
          <w:lang w:eastAsia="es-CO"/>
        </w:rPr>
        <w:t xml:space="preserve">De conformidad con lo establecido en los artículos 10, 54 </w:t>
      </w:r>
      <w:r>
        <w:rPr>
          <w:rFonts w:eastAsia="Times New Roman"/>
          <w:szCs w:val="24"/>
          <w:lang w:eastAsia="es-CO"/>
        </w:rPr>
        <w:t xml:space="preserve">y 55 de la Ley 79 de 1988, las </w:t>
      </w:r>
      <w:r w:rsidRPr="00F620E3">
        <w:rPr>
          <w:rFonts w:eastAsia="Times New Roman"/>
          <w:szCs w:val="24"/>
          <w:lang w:eastAsia="es-CO"/>
        </w:rPr>
        <w:t>cooperativas deberán aplicar sus excedentes de cierre de e</w:t>
      </w:r>
      <w:r>
        <w:rPr>
          <w:rFonts w:eastAsia="Times New Roman"/>
          <w:szCs w:val="24"/>
          <w:lang w:eastAsia="es-CO"/>
        </w:rPr>
        <w:t xml:space="preserve">jercicio teniendo en cuenta el </w:t>
      </w:r>
      <w:r w:rsidRPr="00F620E3">
        <w:rPr>
          <w:rFonts w:eastAsia="Times New Roman"/>
          <w:szCs w:val="24"/>
          <w:lang w:eastAsia="es-CO"/>
        </w:rPr>
        <w:t xml:space="preserve">siguiente procedimiento: </w:t>
      </w:r>
    </w:p>
    <w:p w:rsidR="00F620E3" w:rsidRPr="00F620E3" w:rsidRDefault="00F620E3" w:rsidP="00F620E3">
      <w:pPr>
        <w:ind w:left="567" w:right="567"/>
        <w:rPr>
          <w:rFonts w:eastAsia="Times New Roman"/>
          <w:szCs w:val="24"/>
          <w:lang w:eastAsia="es-CO"/>
        </w:rPr>
      </w:pPr>
      <w:r w:rsidRPr="00F620E3">
        <w:rPr>
          <w:rFonts w:eastAsia="Times New Roman"/>
          <w:szCs w:val="24"/>
          <w:lang w:eastAsia="es-CO"/>
        </w:rPr>
        <w:t xml:space="preserve"> </w:t>
      </w:r>
    </w:p>
    <w:p w:rsidR="00F620E3" w:rsidRDefault="00F620E3" w:rsidP="00F620E3">
      <w:pPr>
        <w:ind w:left="567" w:right="567"/>
        <w:rPr>
          <w:rFonts w:eastAsia="Times New Roman"/>
          <w:szCs w:val="24"/>
          <w:u w:val="single"/>
          <w:lang w:eastAsia="es-CO"/>
        </w:rPr>
      </w:pPr>
      <w:r w:rsidRPr="00F620E3">
        <w:rPr>
          <w:rFonts w:eastAsia="Times New Roman"/>
          <w:b/>
          <w:szCs w:val="24"/>
          <w:lang w:eastAsia="es-CO"/>
        </w:rPr>
        <w:t xml:space="preserve">Una vez se obtenga el resultado en el balance al cierre de un ejercicio, </w:t>
      </w:r>
      <w:r w:rsidRPr="00F620E3">
        <w:rPr>
          <w:rFonts w:eastAsia="Times New Roman"/>
          <w:b/>
          <w:szCs w:val="24"/>
          <w:u w:val="single"/>
          <w:lang w:eastAsia="es-CO"/>
        </w:rPr>
        <w:t xml:space="preserve">se debe deducir la parte de los excedentes obtenidos de operaciones con terceros en concordancia con el artículo 10 de la Ley 79 de 1988, cuando se prestan servicios a no asociados, para obtener el excedente neto y proceder de conformidad con los artículos 55, 54 y 56 de la ley 79 de </w:t>
      </w:r>
      <w:r w:rsidRPr="00F620E3">
        <w:rPr>
          <w:rFonts w:eastAsia="Times New Roman"/>
          <w:szCs w:val="24"/>
          <w:u w:val="single"/>
          <w:lang w:eastAsia="es-CO"/>
        </w:rPr>
        <w:t xml:space="preserve">1988. </w:t>
      </w:r>
    </w:p>
    <w:p w:rsidR="00F620E3" w:rsidRPr="00F620E3" w:rsidRDefault="00F620E3" w:rsidP="00F620E3">
      <w:pPr>
        <w:ind w:left="567" w:right="567"/>
        <w:rPr>
          <w:rFonts w:eastAsia="Times New Roman"/>
          <w:szCs w:val="24"/>
          <w:u w:val="single"/>
          <w:lang w:eastAsia="es-CO"/>
        </w:rPr>
      </w:pPr>
      <w:r w:rsidRPr="00F620E3">
        <w:rPr>
          <w:rFonts w:eastAsia="Times New Roman"/>
          <w:szCs w:val="24"/>
          <w:lang w:eastAsia="es-CO"/>
        </w:rPr>
        <w:t xml:space="preserve">/Negrilla y subrayas fuera de texto/. </w:t>
      </w:r>
    </w:p>
    <w:p w:rsidR="00F620E3" w:rsidRDefault="00F620E3" w:rsidP="00396615">
      <w:pPr>
        <w:rPr>
          <w:rFonts w:eastAsia="Times New Roman"/>
          <w:szCs w:val="24"/>
          <w:lang w:eastAsia="es-CO"/>
        </w:rPr>
      </w:pPr>
      <w:r>
        <w:rPr>
          <w:rFonts w:eastAsia="Times New Roman"/>
          <w:szCs w:val="24"/>
          <w:lang w:eastAsia="es-CO"/>
        </w:rPr>
        <w:t xml:space="preserve"> </w:t>
      </w:r>
    </w:p>
    <w:p w:rsidR="00A034D4" w:rsidRDefault="00F620E3" w:rsidP="00396615">
      <w:pPr>
        <w:rPr>
          <w:rFonts w:eastAsia="Times New Roman"/>
          <w:szCs w:val="24"/>
          <w:lang w:eastAsia="es-CO"/>
        </w:rPr>
      </w:pPr>
      <w:r>
        <w:rPr>
          <w:rFonts w:eastAsia="Times New Roman"/>
          <w:szCs w:val="24"/>
          <w:lang w:eastAsia="es-CO"/>
        </w:rPr>
        <w:lastRenderedPageBreak/>
        <w:t xml:space="preserve">A su vez, </w:t>
      </w:r>
      <w:r w:rsidR="00A034D4">
        <w:rPr>
          <w:rFonts w:eastAsia="Times New Roman"/>
          <w:szCs w:val="24"/>
          <w:lang w:eastAsia="es-CO"/>
        </w:rPr>
        <w:t xml:space="preserve"> el artículo 1º del decreto 2880 del 2004 condiciona la exención del beneficio neto o excedente de las Cooperativas a la inversión en educación formal de una suma igual o superior al 20% del excedente del ejercicio del año.</w:t>
      </w:r>
    </w:p>
    <w:p w:rsidR="00F620E3" w:rsidRDefault="00F620E3" w:rsidP="00396615">
      <w:pPr>
        <w:rPr>
          <w:rFonts w:eastAsia="Times New Roman"/>
          <w:b/>
          <w:szCs w:val="24"/>
          <w:lang w:eastAsia="es-CO"/>
        </w:rPr>
      </w:pPr>
    </w:p>
    <w:p w:rsidR="00A034D4" w:rsidRPr="00A034D4" w:rsidRDefault="00A034D4" w:rsidP="00396615">
      <w:pPr>
        <w:rPr>
          <w:rFonts w:eastAsia="Times New Roman"/>
          <w:b/>
          <w:szCs w:val="24"/>
          <w:lang w:eastAsia="es-CO"/>
        </w:rPr>
      </w:pPr>
      <w:r w:rsidRPr="00A034D4">
        <w:rPr>
          <w:rFonts w:eastAsia="Times New Roman"/>
          <w:b/>
          <w:szCs w:val="24"/>
          <w:lang w:eastAsia="es-CO"/>
        </w:rPr>
        <w:t xml:space="preserve">PREGUNTA: </w:t>
      </w:r>
    </w:p>
    <w:p w:rsidR="00A034D4" w:rsidRDefault="00A034D4" w:rsidP="00396615">
      <w:pPr>
        <w:rPr>
          <w:rFonts w:eastAsia="Times New Roman"/>
          <w:szCs w:val="24"/>
          <w:lang w:eastAsia="es-CO"/>
        </w:rPr>
      </w:pPr>
    </w:p>
    <w:p w:rsidR="00A034D4" w:rsidRDefault="00A034D4" w:rsidP="00396615">
      <w:pPr>
        <w:rPr>
          <w:rFonts w:eastAsia="Times New Roman"/>
          <w:szCs w:val="24"/>
          <w:lang w:eastAsia="es-CO"/>
        </w:rPr>
      </w:pPr>
      <w:r>
        <w:rPr>
          <w:rFonts w:eastAsia="Times New Roman"/>
          <w:szCs w:val="24"/>
          <w:lang w:eastAsia="es-CO"/>
        </w:rPr>
        <w:t xml:space="preserve">¿La inversión del 20% en educación formal  debe hacerse del 100% del beneficio neto o excedente obtenido, o una vez descontada la parte de beneficio que corresponde a ingresos proveniente de la prestación de servicios  a no asociados y que según el artículo 10 de la ley 79 de 1988 no es susceptible de repartición y por ende obliga llevarlos a un fondo </w:t>
      </w:r>
      <w:r w:rsidR="00850D4D">
        <w:rPr>
          <w:rFonts w:eastAsia="Times New Roman"/>
          <w:szCs w:val="24"/>
          <w:lang w:eastAsia="es-CO"/>
        </w:rPr>
        <w:t xml:space="preserve">especial? </w:t>
      </w:r>
    </w:p>
    <w:p w:rsidR="00A034D4" w:rsidRDefault="00A034D4" w:rsidP="00396615">
      <w:pPr>
        <w:rPr>
          <w:rFonts w:eastAsia="Times New Roman"/>
          <w:szCs w:val="24"/>
          <w:lang w:eastAsia="es-CO"/>
        </w:rPr>
      </w:pPr>
    </w:p>
    <w:p w:rsidR="00A034D4" w:rsidRPr="00F933C5" w:rsidRDefault="00A034D4" w:rsidP="00396615">
      <w:pPr>
        <w:rPr>
          <w:rFonts w:eastAsia="Times New Roman"/>
          <w:b/>
          <w:szCs w:val="24"/>
          <w:lang w:eastAsia="es-CO"/>
        </w:rPr>
      </w:pPr>
      <w:r w:rsidRPr="00F933C5">
        <w:rPr>
          <w:rFonts w:eastAsia="Times New Roman"/>
          <w:b/>
          <w:szCs w:val="24"/>
          <w:lang w:eastAsia="es-CO"/>
        </w:rPr>
        <w:t xml:space="preserve">DECIMA QUINTA: </w:t>
      </w:r>
    </w:p>
    <w:p w:rsidR="00A034D4" w:rsidRDefault="00A034D4" w:rsidP="00396615">
      <w:pPr>
        <w:rPr>
          <w:rFonts w:eastAsia="Times New Roman"/>
          <w:szCs w:val="24"/>
          <w:lang w:eastAsia="es-CO"/>
        </w:rPr>
      </w:pPr>
    </w:p>
    <w:p w:rsidR="00A034D4" w:rsidRDefault="00856026" w:rsidP="00396615">
      <w:pPr>
        <w:rPr>
          <w:rFonts w:eastAsia="Times New Roman"/>
          <w:szCs w:val="24"/>
          <w:lang w:eastAsia="es-CO"/>
        </w:rPr>
      </w:pPr>
      <w:r>
        <w:rPr>
          <w:rFonts w:eastAsia="Times New Roman"/>
          <w:szCs w:val="24"/>
          <w:lang w:eastAsia="es-CO"/>
        </w:rPr>
        <w:t xml:space="preserve">El decreto 627 de marzo 26 de 2014 señala en el artículo 2º que rige a partir de la fecha de su publicación. </w:t>
      </w:r>
    </w:p>
    <w:p w:rsidR="00856026" w:rsidRDefault="00856026" w:rsidP="00396615">
      <w:pPr>
        <w:rPr>
          <w:rFonts w:eastAsia="Times New Roman"/>
          <w:szCs w:val="24"/>
          <w:lang w:eastAsia="es-CO"/>
        </w:rPr>
      </w:pPr>
    </w:p>
    <w:p w:rsidR="00856026" w:rsidRPr="00175D20" w:rsidRDefault="00856026" w:rsidP="00396615">
      <w:pPr>
        <w:rPr>
          <w:rFonts w:eastAsia="Times New Roman"/>
          <w:b/>
          <w:szCs w:val="24"/>
          <w:lang w:eastAsia="es-CO"/>
        </w:rPr>
      </w:pPr>
      <w:r w:rsidRPr="00175D20">
        <w:rPr>
          <w:rFonts w:eastAsia="Times New Roman"/>
          <w:b/>
          <w:szCs w:val="24"/>
          <w:lang w:eastAsia="es-CO"/>
        </w:rPr>
        <w:t xml:space="preserve">PREGUNTA: </w:t>
      </w:r>
    </w:p>
    <w:p w:rsidR="00856026" w:rsidRDefault="00856026" w:rsidP="00396615">
      <w:pPr>
        <w:rPr>
          <w:rFonts w:eastAsia="Times New Roman"/>
          <w:szCs w:val="24"/>
          <w:lang w:eastAsia="es-CO"/>
        </w:rPr>
      </w:pPr>
      <w:r>
        <w:rPr>
          <w:rFonts w:eastAsia="Times New Roman"/>
          <w:szCs w:val="24"/>
          <w:lang w:eastAsia="es-CO"/>
        </w:rPr>
        <w:t xml:space="preserve"> </w:t>
      </w:r>
    </w:p>
    <w:p w:rsidR="00856026" w:rsidRDefault="00856026" w:rsidP="00396615">
      <w:pPr>
        <w:rPr>
          <w:rFonts w:eastAsia="Times New Roman"/>
          <w:szCs w:val="24"/>
          <w:lang w:eastAsia="es-CO"/>
        </w:rPr>
      </w:pPr>
      <w:r>
        <w:rPr>
          <w:rFonts w:eastAsia="Times New Roman"/>
          <w:szCs w:val="24"/>
          <w:lang w:eastAsia="es-CO"/>
        </w:rPr>
        <w:t>Aplica dicho decreto para el año gravable 2013 o sólo a partir del año gravable 2014</w:t>
      </w:r>
      <w:proofErr w:type="gramStart"/>
      <w:r>
        <w:rPr>
          <w:rFonts w:eastAsia="Times New Roman"/>
          <w:szCs w:val="24"/>
          <w:lang w:eastAsia="es-CO"/>
        </w:rPr>
        <w:t>?.</w:t>
      </w:r>
      <w:proofErr w:type="gramEnd"/>
      <w:r>
        <w:rPr>
          <w:rFonts w:eastAsia="Times New Roman"/>
          <w:szCs w:val="24"/>
          <w:lang w:eastAsia="es-CO"/>
        </w:rPr>
        <w:t xml:space="preserve"> </w:t>
      </w:r>
    </w:p>
    <w:p w:rsidR="00F2777B" w:rsidRDefault="00F2777B" w:rsidP="00396615">
      <w:pPr>
        <w:rPr>
          <w:rFonts w:eastAsia="Times New Roman"/>
          <w:szCs w:val="24"/>
          <w:lang w:eastAsia="es-CO"/>
        </w:rPr>
      </w:pPr>
    </w:p>
    <w:p w:rsidR="000840E5" w:rsidRPr="00175D20" w:rsidRDefault="00175D20" w:rsidP="00396615">
      <w:pPr>
        <w:rPr>
          <w:rFonts w:eastAsia="Times New Roman"/>
          <w:b/>
          <w:szCs w:val="24"/>
          <w:lang w:eastAsia="es-CO"/>
        </w:rPr>
      </w:pPr>
      <w:r w:rsidRPr="00175D20">
        <w:rPr>
          <w:rFonts w:eastAsia="Times New Roman"/>
          <w:b/>
          <w:szCs w:val="24"/>
          <w:lang w:eastAsia="es-CO"/>
        </w:rPr>
        <w:t xml:space="preserve">DECIMA SEXTA: </w:t>
      </w:r>
    </w:p>
    <w:p w:rsidR="007A2EE0" w:rsidRDefault="007A2EE0" w:rsidP="00396615">
      <w:pPr>
        <w:rPr>
          <w:rFonts w:eastAsia="Times New Roman"/>
          <w:szCs w:val="24"/>
          <w:lang w:eastAsia="es-CO"/>
        </w:rPr>
      </w:pPr>
    </w:p>
    <w:p w:rsidR="00175D20" w:rsidRDefault="0025651F" w:rsidP="00396615">
      <w:pPr>
        <w:rPr>
          <w:rFonts w:eastAsia="Times New Roman"/>
          <w:szCs w:val="24"/>
          <w:lang w:eastAsia="es-CO"/>
        </w:rPr>
      </w:pPr>
      <w:r>
        <w:rPr>
          <w:rFonts w:eastAsia="Times New Roman"/>
          <w:szCs w:val="24"/>
          <w:lang w:eastAsia="es-CO"/>
        </w:rPr>
        <w:t>El artículo 771-5 del Estatuto Tributario limita a partir del año gravable 2014 los pagos en efectivo.</w:t>
      </w:r>
    </w:p>
    <w:p w:rsidR="0025651F" w:rsidRDefault="0025651F" w:rsidP="00396615">
      <w:pPr>
        <w:rPr>
          <w:rFonts w:eastAsia="Times New Roman"/>
          <w:szCs w:val="24"/>
          <w:lang w:eastAsia="es-CO"/>
        </w:rPr>
      </w:pPr>
    </w:p>
    <w:p w:rsidR="0025651F" w:rsidRPr="00900A54" w:rsidRDefault="0025651F" w:rsidP="00396615">
      <w:pPr>
        <w:rPr>
          <w:rFonts w:eastAsia="Times New Roman"/>
          <w:b/>
          <w:szCs w:val="24"/>
          <w:lang w:eastAsia="es-CO"/>
        </w:rPr>
      </w:pPr>
      <w:r w:rsidRPr="00900A54">
        <w:rPr>
          <w:rFonts w:eastAsia="Times New Roman"/>
          <w:b/>
          <w:szCs w:val="24"/>
          <w:lang w:eastAsia="es-CO"/>
        </w:rPr>
        <w:t xml:space="preserve">PREGUNTAS: </w:t>
      </w:r>
    </w:p>
    <w:p w:rsidR="0025651F" w:rsidRDefault="0025651F" w:rsidP="00396615">
      <w:pPr>
        <w:rPr>
          <w:rFonts w:eastAsia="Times New Roman"/>
          <w:szCs w:val="24"/>
          <w:lang w:eastAsia="es-CO"/>
        </w:rPr>
      </w:pPr>
    </w:p>
    <w:p w:rsidR="0025651F" w:rsidRDefault="0025651F" w:rsidP="00396615">
      <w:pPr>
        <w:rPr>
          <w:rFonts w:eastAsia="Times New Roman"/>
          <w:szCs w:val="24"/>
          <w:lang w:eastAsia="es-CO"/>
        </w:rPr>
      </w:pPr>
      <w:r w:rsidRPr="00900A54">
        <w:rPr>
          <w:rFonts w:eastAsia="Times New Roman"/>
          <w:b/>
          <w:szCs w:val="24"/>
          <w:lang w:eastAsia="es-CO"/>
        </w:rPr>
        <w:t>16.1</w:t>
      </w:r>
      <w:r>
        <w:rPr>
          <w:rFonts w:eastAsia="Times New Roman"/>
          <w:szCs w:val="24"/>
          <w:lang w:eastAsia="es-CO"/>
        </w:rPr>
        <w:t>. Será reglamentado dicho art</w:t>
      </w:r>
      <w:r w:rsidR="00900A54">
        <w:rPr>
          <w:rFonts w:eastAsia="Times New Roman"/>
          <w:szCs w:val="24"/>
          <w:lang w:eastAsia="es-CO"/>
        </w:rPr>
        <w:t>ículo o ya debe ser aplicado a  partir del 1º de enero de 2014</w:t>
      </w:r>
      <w:proofErr w:type="gramStart"/>
      <w:r w:rsidR="00900A54">
        <w:rPr>
          <w:rFonts w:eastAsia="Times New Roman"/>
          <w:szCs w:val="24"/>
          <w:lang w:eastAsia="es-CO"/>
        </w:rPr>
        <w:t>?.</w:t>
      </w:r>
      <w:proofErr w:type="gramEnd"/>
      <w:r w:rsidR="00900A54">
        <w:rPr>
          <w:rFonts w:eastAsia="Times New Roman"/>
          <w:szCs w:val="24"/>
          <w:lang w:eastAsia="es-CO"/>
        </w:rPr>
        <w:t xml:space="preserve"> </w:t>
      </w:r>
      <w:r>
        <w:rPr>
          <w:rFonts w:eastAsia="Times New Roman"/>
          <w:szCs w:val="24"/>
          <w:lang w:eastAsia="es-CO"/>
        </w:rPr>
        <w:t xml:space="preserve"> </w:t>
      </w:r>
    </w:p>
    <w:p w:rsidR="0025651F" w:rsidRDefault="0025651F" w:rsidP="00396615">
      <w:pPr>
        <w:rPr>
          <w:rFonts w:eastAsia="Times New Roman"/>
          <w:szCs w:val="24"/>
          <w:lang w:eastAsia="es-CO"/>
        </w:rPr>
      </w:pPr>
    </w:p>
    <w:p w:rsidR="0025651F" w:rsidRDefault="0025651F" w:rsidP="00396615">
      <w:pPr>
        <w:rPr>
          <w:rFonts w:eastAsia="Times New Roman"/>
          <w:szCs w:val="24"/>
          <w:lang w:eastAsia="es-CO"/>
        </w:rPr>
      </w:pPr>
      <w:r w:rsidRPr="00900A54">
        <w:rPr>
          <w:rFonts w:eastAsia="Times New Roman"/>
          <w:b/>
          <w:szCs w:val="24"/>
          <w:lang w:eastAsia="es-CO"/>
        </w:rPr>
        <w:t>16.2.</w:t>
      </w:r>
      <w:r>
        <w:rPr>
          <w:rFonts w:eastAsia="Times New Roman"/>
          <w:szCs w:val="24"/>
          <w:lang w:eastAsia="es-CO"/>
        </w:rPr>
        <w:t xml:space="preserve"> Cuando la norma señala que una de las limitantes será para el año 2014 el 85% de lo pagado, debe incluirse en este concepto el pago de deudas, y en general todo egreso sin importar la imputación contable de éste.? </w:t>
      </w:r>
    </w:p>
    <w:p w:rsidR="0025651F" w:rsidRDefault="0025651F" w:rsidP="00396615">
      <w:pPr>
        <w:rPr>
          <w:rFonts w:eastAsia="Times New Roman"/>
          <w:szCs w:val="24"/>
          <w:lang w:eastAsia="es-CO"/>
        </w:rPr>
      </w:pPr>
    </w:p>
    <w:p w:rsidR="0025651F" w:rsidRDefault="0025651F" w:rsidP="00396615">
      <w:pPr>
        <w:rPr>
          <w:rFonts w:eastAsia="Times New Roman"/>
          <w:szCs w:val="24"/>
          <w:lang w:eastAsia="es-CO"/>
        </w:rPr>
      </w:pPr>
      <w:r w:rsidRPr="00900A54">
        <w:rPr>
          <w:rFonts w:eastAsia="Times New Roman"/>
          <w:b/>
          <w:szCs w:val="24"/>
          <w:lang w:eastAsia="es-CO"/>
        </w:rPr>
        <w:t>16.3</w:t>
      </w:r>
      <w:r>
        <w:rPr>
          <w:rFonts w:eastAsia="Times New Roman"/>
          <w:szCs w:val="24"/>
          <w:lang w:eastAsia="es-CO"/>
        </w:rPr>
        <w:t>. Cuando el artículo señala que una de las limitantes será el 50% de los costos y deduccio</w:t>
      </w:r>
      <w:r w:rsidR="007A2EE0">
        <w:rPr>
          <w:rFonts w:eastAsia="Times New Roman"/>
          <w:szCs w:val="24"/>
          <w:lang w:eastAsia="es-CO"/>
        </w:rPr>
        <w:t xml:space="preserve">nes totales, debe incluirse </w:t>
      </w:r>
      <w:r>
        <w:rPr>
          <w:rFonts w:eastAsia="Times New Roman"/>
          <w:szCs w:val="24"/>
          <w:lang w:eastAsia="es-CO"/>
        </w:rPr>
        <w:t xml:space="preserve"> dentro de los costos la compra de activos fijos, sin importar que éstos se enajenen dentro del mismo año. Cuando se habla de costos, debe en </w:t>
      </w:r>
      <w:r>
        <w:rPr>
          <w:rFonts w:eastAsia="Times New Roman"/>
          <w:szCs w:val="24"/>
          <w:lang w:eastAsia="es-CO"/>
        </w:rPr>
        <w:lastRenderedPageBreak/>
        <w:t>consecuencia acudir</w:t>
      </w:r>
      <w:r w:rsidR="00900A54">
        <w:rPr>
          <w:rFonts w:eastAsia="Times New Roman"/>
          <w:szCs w:val="24"/>
          <w:lang w:eastAsia="es-CO"/>
        </w:rPr>
        <w:t xml:space="preserve">se </w:t>
      </w:r>
      <w:r>
        <w:rPr>
          <w:rFonts w:eastAsia="Times New Roman"/>
          <w:szCs w:val="24"/>
          <w:lang w:eastAsia="es-CO"/>
        </w:rPr>
        <w:t xml:space="preserve"> al costo por juego de inventarios o de inventarios permanentes para conocer este rubro</w:t>
      </w:r>
      <w:proofErr w:type="gramStart"/>
      <w:r>
        <w:rPr>
          <w:rFonts w:eastAsia="Times New Roman"/>
          <w:szCs w:val="24"/>
          <w:lang w:eastAsia="es-CO"/>
        </w:rPr>
        <w:t>?.</w:t>
      </w:r>
      <w:proofErr w:type="gramEnd"/>
      <w:r>
        <w:rPr>
          <w:rFonts w:eastAsia="Times New Roman"/>
          <w:szCs w:val="24"/>
          <w:lang w:eastAsia="es-CO"/>
        </w:rPr>
        <w:t xml:space="preserve"> </w:t>
      </w:r>
    </w:p>
    <w:p w:rsidR="00C165C2" w:rsidRDefault="00C165C2" w:rsidP="00396615">
      <w:pPr>
        <w:rPr>
          <w:rFonts w:eastAsia="Times New Roman"/>
          <w:szCs w:val="24"/>
          <w:lang w:eastAsia="es-CO"/>
        </w:rPr>
      </w:pPr>
    </w:p>
    <w:p w:rsidR="00C165C2" w:rsidRDefault="00C165C2" w:rsidP="00396615">
      <w:pPr>
        <w:rPr>
          <w:rFonts w:eastAsia="Times New Roman"/>
          <w:szCs w:val="24"/>
          <w:lang w:eastAsia="es-CO"/>
        </w:rPr>
      </w:pPr>
      <w:r w:rsidRPr="002252C8">
        <w:rPr>
          <w:rFonts w:eastAsia="Times New Roman"/>
          <w:b/>
          <w:szCs w:val="24"/>
          <w:lang w:eastAsia="es-CO"/>
        </w:rPr>
        <w:t>16.4.</w:t>
      </w:r>
      <w:r w:rsidR="002252C8">
        <w:rPr>
          <w:rFonts w:eastAsia="Times New Roman"/>
          <w:szCs w:val="24"/>
          <w:lang w:eastAsia="es-CO"/>
        </w:rPr>
        <w:t xml:space="preserve"> Có</w:t>
      </w:r>
      <w:r>
        <w:rPr>
          <w:rFonts w:eastAsia="Times New Roman"/>
          <w:szCs w:val="24"/>
          <w:lang w:eastAsia="es-CO"/>
        </w:rPr>
        <w:t>mo se procedería en el caso de los agricultores y ganaderos cuando efectúan pagos a  personas que viven en el sector rural, teniendo en cuenta que en el campo no existe la forma de hacer efectivo los cheques</w:t>
      </w:r>
      <w:proofErr w:type="gramStart"/>
      <w:r>
        <w:rPr>
          <w:rFonts w:eastAsia="Times New Roman"/>
          <w:szCs w:val="24"/>
          <w:lang w:eastAsia="es-CO"/>
        </w:rPr>
        <w:t>?.</w:t>
      </w:r>
      <w:proofErr w:type="gramEnd"/>
      <w:r>
        <w:rPr>
          <w:rFonts w:eastAsia="Times New Roman"/>
          <w:szCs w:val="24"/>
          <w:lang w:eastAsia="es-CO"/>
        </w:rPr>
        <w:t xml:space="preserve"> Cómo se actuaría en los pagos que se realicen  a recolectores de café, los cuales no aceptan que se les pague a través de un medio distinto a efectivo</w:t>
      </w:r>
      <w:proofErr w:type="gramStart"/>
      <w:r>
        <w:rPr>
          <w:rFonts w:eastAsia="Times New Roman"/>
          <w:szCs w:val="24"/>
          <w:lang w:eastAsia="es-CO"/>
        </w:rPr>
        <w:t>?.</w:t>
      </w:r>
      <w:proofErr w:type="gramEnd"/>
      <w:r>
        <w:rPr>
          <w:rFonts w:eastAsia="Times New Roman"/>
          <w:szCs w:val="24"/>
          <w:lang w:eastAsia="es-CO"/>
        </w:rPr>
        <w:t xml:space="preserve"> </w:t>
      </w:r>
    </w:p>
    <w:p w:rsidR="00175D20" w:rsidRDefault="00175D20" w:rsidP="00396615">
      <w:pPr>
        <w:rPr>
          <w:rFonts w:eastAsia="Times New Roman"/>
          <w:szCs w:val="24"/>
          <w:lang w:eastAsia="es-CO"/>
        </w:rPr>
      </w:pPr>
    </w:p>
    <w:p w:rsidR="000840E5" w:rsidRDefault="003478AA" w:rsidP="00396615">
      <w:pPr>
        <w:rPr>
          <w:rFonts w:eastAsia="Times New Roman"/>
          <w:b/>
          <w:szCs w:val="24"/>
          <w:lang w:eastAsia="es-CO"/>
        </w:rPr>
      </w:pPr>
      <w:r w:rsidRPr="00861C9A">
        <w:rPr>
          <w:rFonts w:eastAsia="Times New Roman"/>
          <w:b/>
          <w:szCs w:val="24"/>
          <w:lang w:eastAsia="es-CO"/>
        </w:rPr>
        <w:t xml:space="preserve">DECIMA SÉPTIMA. </w:t>
      </w:r>
    </w:p>
    <w:p w:rsidR="00E95E63" w:rsidRDefault="00E95E63" w:rsidP="00396615">
      <w:pPr>
        <w:rPr>
          <w:rFonts w:eastAsia="Times New Roman"/>
          <w:b/>
          <w:szCs w:val="24"/>
          <w:lang w:eastAsia="es-CO"/>
        </w:rPr>
      </w:pPr>
    </w:p>
    <w:p w:rsidR="00E95E63" w:rsidRPr="00E95E63" w:rsidRDefault="00E95E63" w:rsidP="00396615">
      <w:pPr>
        <w:rPr>
          <w:rFonts w:eastAsia="Times New Roman"/>
          <w:szCs w:val="24"/>
          <w:lang w:eastAsia="es-CO"/>
        </w:rPr>
      </w:pPr>
      <w:r w:rsidRPr="00E95E63">
        <w:rPr>
          <w:rFonts w:eastAsia="Times New Roman"/>
          <w:szCs w:val="24"/>
          <w:lang w:eastAsia="es-CO"/>
        </w:rPr>
        <w:t xml:space="preserve">El numeral 11 del artículo 303 del Estatuto Tributario señala que el  valor del usufructo temporal se determinará en proporción al valor total de los bienes entregados en usufructo, a razón de un 5% de dicho valor por cada año de duración del usufructo sin exceder del 70% del total del valor del bien y que para el vitalicio será del 70% del valor de los bienes entregados en usufructo. </w:t>
      </w:r>
    </w:p>
    <w:p w:rsidR="00E95E63" w:rsidRPr="00E95E63" w:rsidRDefault="00E95E63" w:rsidP="00396615">
      <w:pPr>
        <w:rPr>
          <w:rFonts w:eastAsia="Times New Roman"/>
          <w:szCs w:val="24"/>
          <w:lang w:eastAsia="es-CO"/>
        </w:rPr>
      </w:pPr>
    </w:p>
    <w:p w:rsidR="00E95E63" w:rsidRDefault="00E95E63" w:rsidP="00396615">
      <w:pPr>
        <w:rPr>
          <w:rFonts w:eastAsia="Times New Roman"/>
          <w:b/>
          <w:szCs w:val="24"/>
          <w:lang w:eastAsia="es-CO"/>
        </w:rPr>
      </w:pPr>
      <w:r>
        <w:rPr>
          <w:rFonts w:eastAsia="Times New Roman"/>
          <w:b/>
          <w:szCs w:val="24"/>
          <w:lang w:eastAsia="es-CO"/>
        </w:rPr>
        <w:t xml:space="preserve">PREGUNTA: </w:t>
      </w:r>
    </w:p>
    <w:p w:rsidR="00E95E63" w:rsidRDefault="00E95E63" w:rsidP="00396615">
      <w:pPr>
        <w:rPr>
          <w:rFonts w:eastAsia="Times New Roman"/>
          <w:b/>
          <w:szCs w:val="24"/>
          <w:lang w:eastAsia="es-CO"/>
        </w:rPr>
      </w:pPr>
    </w:p>
    <w:p w:rsidR="00E95E63" w:rsidRPr="00E95E63" w:rsidRDefault="00E95E63" w:rsidP="00396615">
      <w:pPr>
        <w:rPr>
          <w:rFonts w:eastAsia="Times New Roman"/>
          <w:szCs w:val="24"/>
          <w:lang w:eastAsia="es-CO"/>
        </w:rPr>
      </w:pPr>
      <w:r>
        <w:rPr>
          <w:rFonts w:eastAsia="Times New Roman"/>
          <w:b/>
          <w:szCs w:val="24"/>
          <w:lang w:eastAsia="es-CO"/>
        </w:rPr>
        <w:t xml:space="preserve">17. 1. </w:t>
      </w:r>
      <w:r w:rsidR="00182C7D">
        <w:rPr>
          <w:rFonts w:eastAsia="Times New Roman"/>
          <w:b/>
          <w:szCs w:val="24"/>
          <w:lang w:eastAsia="es-CO"/>
        </w:rPr>
        <w:t>¿</w:t>
      </w:r>
      <w:r w:rsidRPr="00E95E63">
        <w:rPr>
          <w:rFonts w:eastAsia="Times New Roman"/>
          <w:szCs w:val="24"/>
          <w:lang w:eastAsia="es-CO"/>
        </w:rPr>
        <w:t>Cuando una persona transfiere la nuda propiedad y se reserva el usufructo, es correcto concluir que en este caso no se están entregando bienes en usufructo, por cuanto el enajenante se reserva el goce de los mismos</w:t>
      </w:r>
      <w:proofErr w:type="gramStart"/>
      <w:r w:rsidRPr="00E95E63">
        <w:rPr>
          <w:rFonts w:eastAsia="Times New Roman"/>
          <w:szCs w:val="24"/>
          <w:lang w:eastAsia="es-CO"/>
        </w:rPr>
        <w:t>?.</w:t>
      </w:r>
      <w:proofErr w:type="gramEnd"/>
      <w:r w:rsidRPr="00E95E63">
        <w:rPr>
          <w:rFonts w:eastAsia="Times New Roman"/>
          <w:szCs w:val="24"/>
          <w:lang w:eastAsia="es-CO"/>
        </w:rPr>
        <w:t xml:space="preserve"> No se generaría ingreso por concepto de ganancia ocasional en este caso</w:t>
      </w:r>
      <w:proofErr w:type="gramStart"/>
      <w:r w:rsidRPr="00E95E63">
        <w:rPr>
          <w:rFonts w:eastAsia="Times New Roman"/>
          <w:szCs w:val="24"/>
          <w:lang w:eastAsia="es-CO"/>
        </w:rPr>
        <w:t>?.</w:t>
      </w:r>
      <w:proofErr w:type="gramEnd"/>
      <w:r w:rsidRPr="00E95E63">
        <w:rPr>
          <w:rFonts w:eastAsia="Times New Roman"/>
          <w:szCs w:val="24"/>
          <w:lang w:eastAsia="es-CO"/>
        </w:rPr>
        <w:t xml:space="preserve"> </w:t>
      </w:r>
    </w:p>
    <w:p w:rsidR="000840E5" w:rsidRPr="00E95E63" w:rsidRDefault="000840E5" w:rsidP="00396615">
      <w:pPr>
        <w:rPr>
          <w:rFonts w:eastAsia="Times New Roman"/>
          <w:szCs w:val="24"/>
          <w:lang w:eastAsia="es-CO"/>
        </w:rPr>
      </w:pPr>
    </w:p>
    <w:p w:rsidR="00A148CE" w:rsidRDefault="00E95E63" w:rsidP="00396615">
      <w:pPr>
        <w:rPr>
          <w:rFonts w:eastAsia="Times New Roman"/>
          <w:szCs w:val="24"/>
          <w:lang w:eastAsia="es-CO"/>
        </w:rPr>
      </w:pPr>
      <w:r>
        <w:rPr>
          <w:rFonts w:eastAsia="Times New Roman"/>
          <w:b/>
          <w:szCs w:val="24"/>
          <w:lang w:eastAsia="es-CO"/>
        </w:rPr>
        <w:t xml:space="preserve">17.2. </w:t>
      </w:r>
      <w:r w:rsidR="00182C7D">
        <w:rPr>
          <w:rFonts w:eastAsia="Times New Roman"/>
          <w:b/>
          <w:szCs w:val="24"/>
          <w:lang w:eastAsia="es-CO"/>
        </w:rPr>
        <w:t>¿</w:t>
      </w:r>
      <w:r w:rsidRPr="00E95E63">
        <w:rPr>
          <w:rFonts w:eastAsia="Times New Roman"/>
          <w:szCs w:val="24"/>
          <w:lang w:eastAsia="es-CO"/>
        </w:rPr>
        <w:t xml:space="preserve">Si en un acto intervivos el usufructo se entrega hasta tanto la persona que lo gozará permanezca viva, </w:t>
      </w:r>
      <w:r>
        <w:rPr>
          <w:rFonts w:eastAsia="Times New Roman"/>
          <w:szCs w:val="24"/>
          <w:lang w:eastAsia="es-CO"/>
        </w:rPr>
        <w:t>debe entenderse este acto como un usufructo vitalicio</w:t>
      </w:r>
      <w:proofErr w:type="gramStart"/>
      <w:r>
        <w:rPr>
          <w:rFonts w:eastAsia="Times New Roman"/>
          <w:szCs w:val="24"/>
          <w:lang w:eastAsia="es-CO"/>
        </w:rPr>
        <w:t>?.</w:t>
      </w:r>
      <w:proofErr w:type="gramEnd"/>
      <w:r>
        <w:rPr>
          <w:rFonts w:eastAsia="Times New Roman"/>
          <w:szCs w:val="24"/>
          <w:lang w:eastAsia="es-CO"/>
        </w:rPr>
        <w:t xml:space="preserve"> </w:t>
      </w:r>
    </w:p>
    <w:p w:rsidR="00E95E63" w:rsidRDefault="00E95E63" w:rsidP="00396615">
      <w:pPr>
        <w:rPr>
          <w:rFonts w:eastAsia="Times New Roman"/>
          <w:szCs w:val="24"/>
          <w:lang w:eastAsia="es-CO"/>
        </w:rPr>
      </w:pPr>
    </w:p>
    <w:p w:rsidR="00E95E63" w:rsidRDefault="00E95E63" w:rsidP="00396615">
      <w:pPr>
        <w:rPr>
          <w:rFonts w:eastAsia="Times New Roman"/>
          <w:szCs w:val="24"/>
          <w:lang w:eastAsia="es-CO"/>
        </w:rPr>
      </w:pPr>
      <w:r>
        <w:rPr>
          <w:rFonts w:eastAsia="Times New Roman"/>
          <w:szCs w:val="24"/>
          <w:lang w:eastAsia="es-CO"/>
        </w:rPr>
        <w:t xml:space="preserve">17.3. </w:t>
      </w:r>
      <w:r w:rsidR="00182C7D">
        <w:rPr>
          <w:rFonts w:eastAsia="Times New Roman"/>
          <w:szCs w:val="24"/>
          <w:lang w:eastAsia="es-CO"/>
        </w:rPr>
        <w:t>¿</w:t>
      </w:r>
      <w:r>
        <w:rPr>
          <w:rFonts w:eastAsia="Times New Roman"/>
          <w:szCs w:val="24"/>
          <w:lang w:eastAsia="es-CO"/>
        </w:rPr>
        <w:t xml:space="preserve">Si en un acto </w:t>
      </w:r>
      <w:proofErr w:type="spellStart"/>
      <w:r>
        <w:rPr>
          <w:rFonts w:eastAsia="Times New Roman"/>
          <w:szCs w:val="24"/>
          <w:lang w:eastAsia="es-CO"/>
        </w:rPr>
        <w:t>intervivos</w:t>
      </w:r>
      <w:proofErr w:type="spellEnd"/>
      <w:r>
        <w:rPr>
          <w:rFonts w:eastAsia="Times New Roman"/>
          <w:szCs w:val="24"/>
          <w:lang w:eastAsia="es-CO"/>
        </w:rPr>
        <w:t xml:space="preserve"> se entregan bienes en usufructo y se le asigna a este acto un valor en dinero, </w:t>
      </w:r>
      <w:r w:rsidR="00182C7D">
        <w:rPr>
          <w:rFonts w:eastAsia="Times New Roman"/>
          <w:szCs w:val="24"/>
          <w:lang w:eastAsia="es-CO"/>
        </w:rPr>
        <w:t>se considera este acto válido desde el punto de vista tributario, en el entendido de que la persona que entrega los bienes se está desprendiendo de un ingreso</w:t>
      </w:r>
      <w:proofErr w:type="gramStart"/>
      <w:r w:rsidR="00182C7D">
        <w:rPr>
          <w:rFonts w:eastAsia="Times New Roman"/>
          <w:szCs w:val="24"/>
          <w:lang w:eastAsia="es-CO"/>
        </w:rPr>
        <w:t>?.</w:t>
      </w:r>
      <w:proofErr w:type="gramEnd"/>
      <w:r w:rsidR="00182C7D">
        <w:rPr>
          <w:rFonts w:eastAsia="Times New Roman"/>
          <w:szCs w:val="24"/>
          <w:lang w:eastAsia="es-CO"/>
        </w:rPr>
        <w:t xml:space="preserve"> </w:t>
      </w:r>
    </w:p>
    <w:p w:rsidR="00182C7D" w:rsidRDefault="00182C7D" w:rsidP="00396615">
      <w:pPr>
        <w:rPr>
          <w:rFonts w:eastAsia="Times New Roman"/>
          <w:szCs w:val="24"/>
          <w:lang w:eastAsia="es-CO"/>
        </w:rPr>
      </w:pPr>
    </w:p>
    <w:p w:rsidR="00182C7D" w:rsidRPr="00AA5C80" w:rsidRDefault="00182C7D" w:rsidP="00396615">
      <w:pPr>
        <w:rPr>
          <w:rFonts w:eastAsia="Times New Roman"/>
          <w:b/>
          <w:szCs w:val="24"/>
          <w:lang w:eastAsia="es-CO"/>
        </w:rPr>
      </w:pPr>
      <w:r w:rsidRPr="00AA5C80">
        <w:rPr>
          <w:rFonts w:eastAsia="Times New Roman"/>
          <w:b/>
          <w:szCs w:val="24"/>
          <w:lang w:eastAsia="es-CO"/>
        </w:rPr>
        <w:t xml:space="preserve">DECIMA OCTAVA: </w:t>
      </w:r>
    </w:p>
    <w:p w:rsidR="00182C7D" w:rsidRDefault="00182C7D" w:rsidP="00396615">
      <w:pPr>
        <w:rPr>
          <w:rFonts w:eastAsia="Times New Roman"/>
          <w:szCs w:val="24"/>
          <w:lang w:eastAsia="es-CO"/>
        </w:rPr>
      </w:pPr>
    </w:p>
    <w:p w:rsidR="00182C7D" w:rsidRDefault="00AA5C80" w:rsidP="00396615">
      <w:pPr>
        <w:rPr>
          <w:rFonts w:eastAsia="Times New Roman"/>
          <w:szCs w:val="24"/>
          <w:lang w:eastAsia="es-CO"/>
        </w:rPr>
      </w:pPr>
      <w:r>
        <w:rPr>
          <w:rFonts w:eastAsia="Times New Roman"/>
          <w:szCs w:val="24"/>
          <w:lang w:eastAsia="es-CO"/>
        </w:rPr>
        <w:t>¿</w:t>
      </w:r>
      <w:r w:rsidR="006621FB">
        <w:rPr>
          <w:rFonts w:eastAsia="Times New Roman"/>
          <w:szCs w:val="24"/>
          <w:lang w:eastAsia="es-CO"/>
        </w:rPr>
        <w:t>Si e</w:t>
      </w:r>
      <w:r>
        <w:rPr>
          <w:rFonts w:eastAsia="Times New Roman"/>
          <w:szCs w:val="24"/>
          <w:lang w:eastAsia="es-CO"/>
        </w:rPr>
        <w:t>l artículo 319 del estatuto tributario establece que el aporte en especie a sociedades nacionales no será considerado enajenaci</w:t>
      </w:r>
      <w:r w:rsidR="006621FB">
        <w:rPr>
          <w:rFonts w:eastAsia="Times New Roman"/>
          <w:szCs w:val="24"/>
          <w:lang w:eastAsia="es-CO"/>
        </w:rPr>
        <w:t xml:space="preserve">ón, sería </w:t>
      </w:r>
      <w:r>
        <w:rPr>
          <w:rFonts w:eastAsia="Times New Roman"/>
          <w:szCs w:val="24"/>
          <w:lang w:eastAsia="es-CO"/>
        </w:rPr>
        <w:t xml:space="preserve"> correcto concluir entonces que cuando el aporte lo realiza una persona natural y que  para ella el aporte en especie que efectúa constituía activo fijo, no se genera en este caso la retención en la fuente de que trata el artículo 398 del E.T.?</w:t>
      </w:r>
    </w:p>
    <w:p w:rsidR="00761450" w:rsidRDefault="00761450" w:rsidP="00396615">
      <w:pPr>
        <w:rPr>
          <w:rFonts w:eastAsia="Times New Roman"/>
          <w:szCs w:val="24"/>
          <w:lang w:eastAsia="es-CO"/>
        </w:rPr>
      </w:pPr>
    </w:p>
    <w:p w:rsidR="00E401FE" w:rsidRPr="007A0C92" w:rsidRDefault="007A0C92" w:rsidP="00396615">
      <w:pPr>
        <w:rPr>
          <w:rFonts w:eastAsia="Times New Roman"/>
          <w:b/>
          <w:szCs w:val="24"/>
          <w:lang w:eastAsia="es-CO"/>
        </w:rPr>
      </w:pPr>
      <w:r w:rsidRPr="007A0C92">
        <w:rPr>
          <w:rFonts w:eastAsia="Times New Roman"/>
          <w:b/>
          <w:szCs w:val="24"/>
          <w:lang w:eastAsia="es-CO"/>
        </w:rPr>
        <w:t xml:space="preserve">DECIMA NOVENA: </w:t>
      </w:r>
    </w:p>
    <w:p w:rsidR="007A0C92" w:rsidRDefault="007A0C92" w:rsidP="00396615">
      <w:pPr>
        <w:rPr>
          <w:rFonts w:eastAsia="Times New Roman"/>
          <w:b/>
          <w:szCs w:val="24"/>
          <w:lang w:eastAsia="es-CO"/>
        </w:rPr>
      </w:pPr>
    </w:p>
    <w:p w:rsidR="007A0C92" w:rsidRPr="007A0C92" w:rsidRDefault="007A0C92" w:rsidP="00396615">
      <w:pPr>
        <w:rPr>
          <w:rFonts w:eastAsia="Times New Roman"/>
          <w:szCs w:val="24"/>
          <w:lang w:eastAsia="es-CO"/>
        </w:rPr>
      </w:pPr>
      <w:r>
        <w:rPr>
          <w:rFonts w:eastAsia="Times New Roman"/>
          <w:b/>
          <w:szCs w:val="24"/>
          <w:lang w:eastAsia="es-CO"/>
        </w:rPr>
        <w:t>¿</w:t>
      </w:r>
      <w:r w:rsidRPr="007A0C92">
        <w:rPr>
          <w:rFonts w:eastAsia="Times New Roman"/>
          <w:szCs w:val="24"/>
          <w:lang w:eastAsia="es-CO"/>
        </w:rPr>
        <w:t>Puede una persona restarse en la declaración de renta el valor de una retención en la fuente respecto de la cual se ha acordado con quien efectúa el pago, que sea asumida por éste y la cual es acreditada a través del correspondiente certificado</w:t>
      </w:r>
      <w:proofErr w:type="gramStart"/>
      <w:r w:rsidRPr="007A0C92">
        <w:rPr>
          <w:rFonts w:eastAsia="Times New Roman"/>
          <w:szCs w:val="24"/>
          <w:lang w:eastAsia="es-CO"/>
        </w:rPr>
        <w:t>?.</w:t>
      </w:r>
      <w:proofErr w:type="gramEnd"/>
      <w:r w:rsidRPr="007A0C92">
        <w:rPr>
          <w:rFonts w:eastAsia="Times New Roman"/>
          <w:szCs w:val="24"/>
          <w:lang w:eastAsia="es-CO"/>
        </w:rPr>
        <w:t xml:space="preserve"> </w:t>
      </w:r>
    </w:p>
    <w:p w:rsidR="007A0C92" w:rsidRPr="007A0C92" w:rsidRDefault="007A0C92" w:rsidP="00396615">
      <w:pPr>
        <w:rPr>
          <w:rFonts w:eastAsia="Times New Roman"/>
          <w:szCs w:val="24"/>
          <w:lang w:eastAsia="es-CO"/>
        </w:rPr>
      </w:pPr>
    </w:p>
    <w:p w:rsidR="007A0C92" w:rsidRPr="00EE0E34" w:rsidRDefault="00023CEA" w:rsidP="00396615">
      <w:pPr>
        <w:rPr>
          <w:rFonts w:eastAsia="Times New Roman"/>
          <w:b/>
          <w:szCs w:val="24"/>
          <w:lang w:eastAsia="es-CO"/>
        </w:rPr>
      </w:pPr>
      <w:r w:rsidRPr="00EE0E34">
        <w:rPr>
          <w:rFonts w:eastAsia="Times New Roman"/>
          <w:b/>
          <w:szCs w:val="24"/>
          <w:lang w:eastAsia="es-CO"/>
        </w:rPr>
        <w:t xml:space="preserve">VIGÉSIMA: </w:t>
      </w:r>
    </w:p>
    <w:p w:rsidR="00023CEA" w:rsidRDefault="00023CEA" w:rsidP="00396615">
      <w:pPr>
        <w:rPr>
          <w:rFonts w:eastAsia="Times New Roman"/>
          <w:szCs w:val="24"/>
          <w:lang w:eastAsia="es-CO"/>
        </w:rPr>
      </w:pPr>
    </w:p>
    <w:p w:rsidR="00023CEA" w:rsidRDefault="00023CEA" w:rsidP="00396615">
      <w:pPr>
        <w:rPr>
          <w:rFonts w:eastAsia="Times New Roman"/>
          <w:szCs w:val="24"/>
          <w:lang w:eastAsia="es-CO"/>
        </w:rPr>
      </w:pPr>
      <w:proofErr w:type="gramStart"/>
      <w:r>
        <w:rPr>
          <w:rFonts w:eastAsia="Times New Roman"/>
          <w:szCs w:val="24"/>
          <w:lang w:eastAsia="es-CO"/>
        </w:rPr>
        <w:t>¿</w:t>
      </w:r>
      <w:proofErr w:type="gramEnd"/>
      <w:r>
        <w:rPr>
          <w:rFonts w:eastAsia="Times New Roman"/>
          <w:szCs w:val="24"/>
          <w:lang w:eastAsia="es-CO"/>
        </w:rPr>
        <w:t xml:space="preserve">El artículo </w:t>
      </w:r>
      <w:r w:rsidR="009768B1">
        <w:rPr>
          <w:rFonts w:eastAsia="Times New Roman"/>
          <w:szCs w:val="24"/>
          <w:lang w:eastAsia="es-CO"/>
        </w:rPr>
        <w:t xml:space="preserve">22 de la Resolución 228 del 31 de Octubre de 2013, establece en el artículo 22 la información que deben enviar por el año 2014 las personas o entidades no obligadas a llevar contabilidad. Al respecto expresa: </w:t>
      </w:r>
    </w:p>
    <w:p w:rsidR="009768B1" w:rsidRDefault="009768B1" w:rsidP="00396615">
      <w:pPr>
        <w:rPr>
          <w:rFonts w:eastAsia="Times New Roman"/>
          <w:szCs w:val="24"/>
          <w:lang w:eastAsia="es-CO"/>
        </w:rPr>
      </w:pPr>
    </w:p>
    <w:p w:rsidR="009768B1" w:rsidRPr="009768B1" w:rsidRDefault="009768B1" w:rsidP="009768B1">
      <w:pPr>
        <w:ind w:left="567" w:right="567"/>
        <w:jc w:val="center"/>
        <w:rPr>
          <w:rFonts w:eastAsia="Times New Roman"/>
          <w:bCs/>
          <w:szCs w:val="24"/>
          <w:lang w:eastAsia="es-CO"/>
        </w:rPr>
      </w:pPr>
      <w:r w:rsidRPr="009768B1">
        <w:rPr>
          <w:rFonts w:eastAsia="Times New Roman"/>
          <w:bCs/>
          <w:szCs w:val="24"/>
          <w:lang w:eastAsia="es-CO"/>
        </w:rPr>
        <w:t>“CAPÍTULO 2</w:t>
      </w:r>
    </w:p>
    <w:p w:rsidR="009768B1" w:rsidRPr="009768B1" w:rsidRDefault="009768B1" w:rsidP="009768B1">
      <w:pPr>
        <w:ind w:left="567" w:right="567"/>
        <w:jc w:val="center"/>
        <w:rPr>
          <w:rFonts w:eastAsia="Times New Roman"/>
          <w:szCs w:val="24"/>
          <w:lang w:eastAsia="es-CO"/>
        </w:rPr>
      </w:pPr>
    </w:p>
    <w:p w:rsidR="009768B1" w:rsidRPr="009768B1" w:rsidRDefault="009768B1" w:rsidP="009768B1">
      <w:pPr>
        <w:ind w:left="567" w:right="567"/>
        <w:jc w:val="center"/>
        <w:rPr>
          <w:rFonts w:eastAsia="Times New Roman"/>
          <w:szCs w:val="24"/>
          <w:lang w:eastAsia="es-CO"/>
        </w:rPr>
      </w:pPr>
      <w:r w:rsidRPr="009768B1">
        <w:rPr>
          <w:rFonts w:eastAsia="Times New Roman"/>
          <w:bCs/>
          <w:szCs w:val="24"/>
          <w:lang w:eastAsia="es-CO"/>
        </w:rPr>
        <w:t>PERSONAS O ENTIDADES NO OBLIGADAS A LLEVAR CONTABILIDAD</w:t>
      </w:r>
    </w:p>
    <w:p w:rsidR="009768B1" w:rsidRPr="009768B1" w:rsidRDefault="009768B1" w:rsidP="009768B1">
      <w:pPr>
        <w:ind w:left="567" w:right="567"/>
        <w:rPr>
          <w:rFonts w:eastAsia="Times New Roman"/>
          <w:szCs w:val="24"/>
          <w:lang w:eastAsia="es-CO"/>
        </w:rPr>
      </w:pPr>
      <w:r w:rsidRPr="009768B1">
        <w:rPr>
          <w:rFonts w:eastAsia="Times New Roman"/>
          <w:bCs/>
          <w:szCs w:val="24"/>
          <w:lang w:eastAsia="es-CO"/>
        </w:rPr>
        <w:t> </w:t>
      </w:r>
    </w:p>
    <w:p w:rsidR="009768B1" w:rsidRPr="009768B1" w:rsidRDefault="009768B1" w:rsidP="009768B1">
      <w:pPr>
        <w:ind w:left="567" w:right="567"/>
        <w:rPr>
          <w:rFonts w:eastAsia="Times New Roman"/>
          <w:szCs w:val="24"/>
          <w:lang w:eastAsia="es-CO"/>
        </w:rPr>
      </w:pPr>
      <w:r w:rsidRPr="009768B1">
        <w:rPr>
          <w:rFonts w:eastAsia="Times New Roman"/>
          <w:bCs/>
          <w:szCs w:val="24"/>
          <w:lang w:eastAsia="es-CO"/>
        </w:rPr>
        <w:t>ARTÍCULO 22. INFORMACIÓN DE LAS PERSONAS O ENTIDADES NO OBLIGADAS A LLEVAR CONTABILIDAD</w:t>
      </w:r>
    </w:p>
    <w:p w:rsidR="009768B1" w:rsidRPr="009768B1" w:rsidRDefault="009768B1" w:rsidP="009768B1">
      <w:pPr>
        <w:ind w:left="567" w:right="567"/>
        <w:rPr>
          <w:rFonts w:eastAsia="Times New Roman"/>
          <w:szCs w:val="24"/>
          <w:lang w:eastAsia="es-CO"/>
        </w:rPr>
      </w:pPr>
      <w:r w:rsidRPr="009768B1">
        <w:rPr>
          <w:rFonts w:eastAsia="Times New Roman"/>
          <w:szCs w:val="24"/>
          <w:lang w:eastAsia="es-CO"/>
        </w:rPr>
        <w:t> </w:t>
      </w:r>
    </w:p>
    <w:p w:rsidR="009768B1" w:rsidRPr="009768B1" w:rsidRDefault="009768B1" w:rsidP="009768B1">
      <w:pPr>
        <w:ind w:left="567" w:right="567"/>
        <w:rPr>
          <w:rFonts w:eastAsia="Times New Roman"/>
          <w:szCs w:val="24"/>
          <w:lang w:eastAsia="es-CO"/>
        </w:rPr>
      </w:pPr>
      <w:r w:rsidRPr="009768B1">
        <w:rPr>
          <w:rFonts w:eastAsia="Times New Roman"/>
          <w:szCs w:val="24"/>
          <w:lang w:eastAsia="es-CO"/>
        </w:rPr>
        <w:t xml:space="preserve">Los sujetos señalados en los numerales 1, 2, 3, 4, 5, 6, 7, 8, 9 y 10 del Artículo 3 de la presente resolución, </w:t>
      </w:r>
      <w:r w:rsidRPr="009768B1">
        <w:rPr>
          <w:rFonts w:eastAsia="Times New Roman"/>
          <w:b/>
          <w:szCs w:val="24"/>
          <w:lang w:eastAsia="es-CO"/>
        </w:rPr>
        <w:t>no obligados a llevar contabilidad</w:t>
      </w:r>
      <w:r w:rsidRPr="009768B1">
        <w:rPr>
          <w:rFonts w:eastAsia="Times New Roman"/>
          <w:szCs w:val="24"/>
          <w:lang w:eastAsia="es-CO"/>
        </w:rPr>
        <w:t>, deberán reportar anualmente por períodos bimestrales la siguiente información:”</w:t>
      </w:r>
    </w:p>
    <w:p w:rsidR="009768B1" w:rsidRPr="009768B1" w:rsidRDefault="009768B1" w:rsidP="009768B1">
      <w:pPr>
        <w:ind w:left="567" w:right="567"/>
        <w:rPr>
          <w:rFonts w:eastAsia="Times New Roman"/>
          <w:szCs w:val="24"/>
          <w:lang w:eastAsia="es-CO"/>
        </w:rPr>
      </w:pPr>
    </w:p>
    <w:p w:rsidR="009768B1" w:rsidRPr="00031116" w:rsidRDefault="00CF3EF1" w:rsidP="009768B1">
      <w:pPr>
        <w:rPr>
          <w:rFonts w:eastAsia="Times New Roman"/>
          <w:b/>
          <w:szCs w:val="24"/>
          <w:lang w:eastAsia="es-CO"/>
        </w:rPr>
      </w:pPr>
      <w:r>
        <w:rPr>
          <w:rFonts w:eastAsia="Times New Roman"/>
          <w:b/>
          <w:szCs w:val="24"/>
          <w:lang w:eastAsia="es-CO"/>
        </w:rPr>
        <w:t xml:space="preserve">PREGUNTA: </w:t>
      </w:r>
      <w:r w:rsidR="009768B1" w:rsidRPr="00031116">
        <w:rPr>
          <w:rFonts w:eastAsia="Times New Roman"/>
          <w:b/>
          <w:szCs w:val="24"/>
          <w:lang w:eastAsia="es-CO"/>
        </w:rPr>
        <w:t xml:space="preserve">¿Para la Dian, qué personas naturales y qué entidades no están obligadas a llevar contabilidad en los términos del artículo 22 de la Resolución No. 228 de Octubre 31 de </w:t>
      </w:r>
      <w:proofErr w:type="gramStart"/>
      <w:r w:rsidR="009768B1" w:rsidRPr="00031116">
        <w:rPr>
          <w:rFonts w:eastAsia="Times New Roman"/>
          <w:b/>
          <w:szCs w:val="24"/>
          <w:lang w:eastAsia="es-CO"/>
        </w:rPr>
        <w:t>2013.?.</w:t>
      </w:r>
      <w:proofErr w:type="gramEnd"/>
      <w:r w:rsidR="009768B1" w:rsidRPr="00031116">
        <w:rPr>
          <w:rFonts w:eastAsia="Times New Roman"/>
          <w:b/>
          <w:szCs w:val="24"/>
          <w:lang w:eastAsia="es-CO"/>
        </w:rPr>
        <w:t xml:space="preserve"> </w:t>
      </w:r>
    </w:p>
    <w:p w:rsidR="009768B1" w:rsidRDefault="009768B1" w:rsidP="009768B1">
      <w:pPr>
        <w:rPr>
          <w:rFonts w:eastAsia="Times New Roman"/>
          <w:szCs w:val="24"/>
          <w:lang w:eastAsia="es-CO"/>
        </w:rPr>
      </w:pPr>
    </w:p>
    <w:p w:rsidR="00EE0E34" w:rsidRPr="00EE0E34" w:rsidRDefault="00EE0E34" w:rsidP="009768B1">
      <w:pPr>
        <w:rPr>
          <w:rFonts w:eastAsia="Times New Roman"/>
          <w:b/>
          <w:szCs w:val="24"/>
          <w:lang w:eastAsia="es-CO"/>
        </w:rPr>
      </w:pPr>
      <w:r w:rsidRPr="00EE0E34">
        <w:rPr>
          <w:rFonts w:eastAsia="Times New Roman"/>
          <w:b/>
          <w:szCs w:val="24"/>
          <w:lang w:eastAsia="es-CO"/>
        </w:rPr>
        <w:t xml:space="preserve">VIGESIMA PRIMERA: </w:t>
      </w:r>
    </w:p>
    <w:p w:rsidR="00EE0E34" w:rsidRDefault="00EE0E34" w:rsidP="009768B1">
      <w:pPr>
        <w:rPr>
          <w:rFonts w:eastAsia="Times New Roman"/>
          <w:b/>
          <w:szCs w:val="24"/>
          <w:lang w:eastAsia="es-CO"/>
        </w:rPr>
      </w:pPr>
    </w:p>
    <w:p w:rsidR="007A0C92" w:rsidRDefault="00EE0E34" w:rsidP="009768B1">
      <w:pPr>
        <w:rPr>
          <w:rFonts w:eastAsia="Times New Roman"/>
          <w:b/>
          <w:szCs w:val="24"/>
          <w:lang w:eastAsia="es-CO"/>
        </w:rPr>
      </w:pPr>
      <w:r>
        <w:rPr>
          <w:rFonts w:eastAsia="Times New Roman"/>
          <w:b/>
          <w:szCs w:val="24"/>
          <w:lang w:eastAsia="es-CO"/>
        </w:rPr>
        <w:t xml:space="preserve">El artículo </w:t>
      </w:r>
      <w:r w:rsidR="00840740">
        <w:rPr>
          <w:rFonts w:eastAsia="Times New Roman"/>
          <w:b/>
          <w:szCs w:val="24"/>
          <w:lang w:eastAsia="es-CO"/>
        </w:rPr>
        <w:t xml:space="preserve">7º del decreto 2972 de 2013 en el literal b) relaciona los trabajadores por cuenta propia no obligados a presentar declaración de renta por el año gravable 2013, al expresar: </w:t>
      </w:r>
    </w:p>
    <w:p w:rsidR="00840740" w:rsidRDefault="00840740" w:rsidP="009768B1">
      <w:pPr>
        <w:rPr>
          <w:rFonts w:eastAsia="Times New Roman"/>
          <w:b/>
          <w:szCs w:val="24"/>
          <w:lang w:eastAsia="es-CO"/>
        </w:rPr>
      </w:pPr>
    </w:p>
    <w:p w:rsidR="00840740" w:rsidRPr="00EE0E34" w:rsidRDefault="00840740" w:rsidP="009768B1">
      <w:pPr>
        <w:rPr>
          <w:rFonts w:eastAsia="Times New Roman"/>
          <w:b/>
          <w:szCs w:val="24"/>
          <w:lang w:eastAsia="es-CO"/>
        </w:rPr>
      </w:pPr>
    </w:p>
    <w:p w:rsidR="00840740" w:rsidRDefault="00840740" w:rsidP="00840740">
      <w:pPr>
        <w:ind w:left="567" w:right="567"/>
        <w:rPr>
          <w:rFonts w:eastAsia="Times New Roman"/>
          <w:color w:val="000000"/>
          <w:szCs w:val="24"/>
          <w:lang w:eastAsia="es-CO"/>
        </w:rPr>
      </w:pPr>
      <w:r w:rsidRPr="00840740">
        <w:rPr>
          <w:rFonts w:eastAsia="Times New Roman"/>
          <w:color w:val="000000"/>
          <w:szCs w:val="24"/>
          <w:lang w:eastAsia="es-CO"/>
        </w:rPr>
        <w:t>“b) </w:t>
      </w:r>
      <w:r w:rsidRPr="00840740">
        <w:rPr>
          <w:rFonts w:eastAsia="Times New Roman"/>
          <w:b/>
          <w:bCs/>
          <w:color w:val="000000"/>
          <w:szCs w:val="24"/>
          <w:lang w:eastAsia="es-CO"/>
        </w:rPr>
        <w:t>Los Trabajadores por cuenta propia</w:t>
      </w:r>
      <w:r w:rsidRPr="00840740">
        <w:rPr>
          <w:rFonts w:eastAsia="Times New Roman"/>
          <w:color w:val="000000"/>
          <w:szCs w:val="24"/>
          <w:lang w:eastAsia="es-CO"/>
        </w:rPr>
        <w:t xml:space="preserve">, residentes en el país, que no sean responsables del impuesto a las ventas del régimen común, </w:t>
      </w:r>
      <w:r w:rsidRPr="00840740">
        <w:rPr>
          <w:rFonts w:eastAsia="Times New Roman"/>
          <w:b/>
          <w:color w:val="000000"/>
          <w:szCs w:val="24"/>
          <w:u w:val="single"/>
          <w:lang w:eastAsia="es-CO"/>
        </w:rPr>
        <w:t xml:space="preserve">cuyos ingresos </w:t>
      </w:r>
      <w:r w:rsidRPr="00840740">
        <w:rPr>
          <w:rFonts w:eastAsia="Times New Roman"/>
          <w:b/>
          <w:color w:val="000000"/>
          <w:szCs w:val="24"/>
          <w:u w:val="single"/>
          <w:lang w:eastAsia="es-CO"/>
        </w:rPr>
        <w:lastRenderedPageBreak/>
        <w:t>brutos se encuentren debidamente facturados, sobre los cuales se hubiere practicado retención en la fuente</w:t>
      </w:r>
      <w:r w:rsidRPr="00840740">
        <w:rPr>
          <w:rFonts w:eastAsia="Times New Roman"/>
          <w:color w:val="000000"/>
          <w:szCs w:val="24"/>
          <w:lang w:eastAsia="es-CO"/>
        </w:rPr>
        <w:t>, y que provengan en una proporción igual o superior a un ochenta por ciento (80%) de la realización de una de las siguientes actividades económicas:</w:t>
      </w:r>
      <w:r>
        <w:rPr>
          <w:rFonts w:eastAsia="Times New Roman"/>
          <w:color w:val="000000"/>
          <w:szCs w:val="24"/>
          <w:lang w:eastAsia="es-CO"/>
        </w:rPr>
        <w:t>”</w:t>
      </w:r>
    </w:p>
    <w:p w:rsidR="00840740" w:rsidRPr="00840740" w:rsidRDefault="00840740" w:rsidP="00840740">
      <w:pPr>
        <w:ind w:left="567" w:right="567"/>
        <w:rPr>
          <w:rFonts w:eastAsia="Times New Roman"/>
          <w:color w:val="000000"/>
          <w:szCs w:val="24"/>
          <w:lang w:eastAsia="es-CO"/>
        </w:rPr>
      </w:pPr>
      <w:r>
        <w:rPr>
          <w:rFonts w:eastAsia="Times New Roman"/>
          <w:color w:val="000000"/>
          <w:szCs w:val="24"/>
          <w:lang w:eastAsia="es-CO"/>
        </w:rPr>
        <w:t>/La negrilla y subrayas fuera de texto/</w:t>
      </w:r>
    </w:p>
    <w:p w:rsidR="00840740" w:rsidRDefault="00840740" w:rsidP="00840740">
      <w:pPr>
        <w:ind w:right="567"/>
        <w:rPr>
          <w:rFonts w:eastAsia="Times New Roman"/>
          <w:color w:val="000000"/>
          <w:szCs w:val="24"/>
          <w:lang w:eastAsia="es-CO"/>
        </w:rPr>
      </w:pPr>
    </w:p>
    <w:p w:rsidR="00840740" w:rsidRPr="00840740" w:rsidRDefault="00840740" w:rsidP="00840740">
      <w:pPr>
        <w:rPr>
          <w:rFonts w:eastAsia="Times New Roman"/>
          <w:b/>
          <w:color w:val="000000"/>
          <w:szCs w:val="24"/>
          <w:lang w:eastAsia="es-CO"/>
        </w:rPr>
      </w:pPr>
      <w:r>
        <w:rPr>
          <w:rFonts w:eastAsia="Times New Roman"/>
          <w:color w:val="000000"/>
          <w:szCs w:val="24"/>
          <w:lang w:eastAsia="es-CO"/>
        </w:rPr>
        <w:t xml:space="preserve">Según la transcripción anterior, se requiere en esta categoría (Art. 340 del E.T) para no ser declarante </w:t>
      </w:r>
      <w:r w:rsidRPr="00840740">
        <w:rPr>
          <w:rFonts w:eastAsia="Times New Roman"/>
          <w:b/>
          <w:color w:val="000000"/>
          <w:szCs w:val="24"/>
          <w:lang w:eastAsia="es-CO"/>
        </w:rPr>
        <w:t xml:space="preserve">que los ingresos brutos se encuentren debidamente facturados y sobre los mismos se hubiere practicado retención en la fuente. </w:t>
      </w:r>
    </w:p>
    <w:p w:rsidR="00840740" w:rsidRDefault="00840740" w:rsidP="00840740">
      <w:pPr>
        <w:rPr>
          <w:rFonts w:eastAsia="Times New Roman"/>
          <w:color w:val="000000"/>
          <w:szCs w:val="24"/>
          <w:lang w:eastAsia="es-CO"/>
        </w:rPr>
      </w:pPr>
    </w:p>
    <w:p w:rsidR="00840740" w:rsidRDefault="00840740" w:rsidP="00840740">
      <w:pPr>
        <w:ind w:right="567"/>
        <w:rPr>
          <w:rFonts w:eastAsia="Times New Roman"/>
          <w:color w:val="000000"/>
          <w:szCs w:val="24"/>
          <w:lang w:eastAsia="es-CO"/>
        </w:rPr>
      </w:pPr>
      <w:r>
        <w:rPr>
          <w:rFonts w:eastAsia="Times New Roman"/>
          <w:color w:val="000000"/>
          <w:szCs w:val="24"/>
          <w:lang w:eastAsia="es-CO"/>
        </w:rPr>
        <w:t xml:space="preserve">Al respecto se pregunta: </w:t>
      </w:r>
    </w:p>
    <w:p w:rsidR="00840740" w:rsidRDefault="00840740" w:rsidP="00840740">
      <w:pPr>
        <w:ind w:right="567"/>
        <w:rPr>
          <w:rFonts w:eastAsia="Times New Roman"/>
          <w:color w:val="000000"/>
          <w:szCs w:val="24"/>
          <w:lang w:eastAsia="es-CO"/>
        </w:rPr>
      </w:pPr>
    </w:p>
    <w:p w:rsidR="00840740" w:rsidRDefault="00031116" w:rsidP="00840740">
      <w:pPr>
        <w:rPr>
          <w:rFonts w:eastAsia="Times New Roman"/>
          <w:color w:val="000000"/>
          <w:szCs w:val="24"/>
          <w:lang w:eastAsia="es-CO"/>
        </w:rPr>
      </w:pPr>
      <w:r>
        <w:rPr>
          <w:rFonts w:eastAsia="Times New Roman"/>
          <w:b/>
          <w:color w:val="000000"/>
          <w:szCs w:val="24"/>
          <w:lang w:eastAsia="es-CO"/>
        </w:rPr>
        <w:t>21</w:t>
      </w:r>
      <w:r w:rsidR="00840740" w:rsidRPr="00840740">
        <w:rPr>
          <w:rFonts w:eastAsia="Times New Roman"/>
          <w:b/>
          <w:color w:val="000000"/>
          <w:szCs w:val="24"/>
          <w:lang w:eastAsia="es-CO"/>
        </w:rPr>
        <w:t>.1</w:t>
      </w:r>
      <w:r w:rsidR="00840740">
        <w:rPr>
          <w:rFonts w:eastAsia="Times New Roman"/>
          <w:color w:val="000000"/>
          <w:szCs w:val="24"/>
          <w:lang w:eastAsia="es-CO"/>
        </w:rPr>
        <w:t>. ¿Quiere decir lo anterior que quienes pertenezcan a la categoría de trabajadores por cuenta propia y se encuentren inscritos en el régimen simplificado y que por norma tributaria no están obligados a expedir factura de venta (literal c) del artículo 2º del decreto 1001 de 1.997) quedan obligados a presentar declaración de renta, sin importar el tope de ingresos y  de patrimonio</w:t>
      </w:r>
      <w:proofErr w:type="gramStart"/>
      <w:r w:rsidR="00840740">
        <w:rPr>
          <w:rFonts w:eastAsia="Times New Roman"/>
          <w:color w:val="000000"/>
          <w:szCs w:val="24"/>
          <w:lang w:eastAsia="es-CO"/>
        </w:rPr>
        <w:t>?.</w:t>
      </w:r>
      <w:proofErr w:type="gramEnd"/>
      <w:r w:rsidR="00840740">
        <w:rPr>
          <w:rFonts w:eastAsia="Times New Roman"/>
          <w:color w:val="000000"/>
          <w:szCs w:val="24"/>
          <w:lang w:eastAsia="es-CO"/>
        </w:rPr>
        <w:t xml:space="preserve"> </w:t>
      </w:r>
    </w:p>
    <w:p w:rsidR="00840740" w:rsidRDefault="00840740" w:rsidP="00840740">
      <w:pPr>
        <w:rPr>
          <w:rFonts w:eastAsia="Times New Roman"/>
          <w:color w:val="000000"/>
          <w:szCs w:val="24"/>
          <w:lang w:eastAsia="es-CO"/>
        </w:rPr>
      </w:pPr>
    </w:p>
    <w:p w:rsidR="00840740" w:rsidRDefault="00031116" w:rsidP="00840740">
      <w:pPr>
        <w:rPr>
          <w:rFonts w:eastAsia="Times New Roman"/>
          <w:color w:val="000000"/>
          <w:szCs w:val="24"/>
          <w:lang w:eastAsia="es-CO"/>
        </w:rPr>
      </w:pPr>
      <w:r>
        <w:rPr>
          <w:rFonts w:eastAsia="Times New Roman"/>
          <w:b/>
          <w:color w:val="000000"/>
          <w:szCs w:val="24"/>
          <w:lang w:eastAsia="es-CO"/>
        </w:rPr>
        <w:t>21</w:t>
      </w:r>
      <w:r w:rsidR="00E63057" w:rsidRPr="00E63057">
        <w:rPr>
          <w:rFonts w:eastAsia="Times New Roman"/>
          <w:b/>
          <w:color w:val="000000"/>
          <w:szCs w:val="24"/>
          <w:lang w:eastAsia="es-CO"/>
        </w:rPr>
        <w:t>.2</w:t>
      </w:r>
      <w:r w:rsidR="00840740">
        <w:rPr>
          <w:rFonts w:eastAsia="Times New Roman"/>
          <w:color w:val="000000"/>
          <w:szCs w:val="24"/>
          <w:lang w:eastAsia="es-CO"/>
        </w:rPr>
        <w:t xml:space="preserve"> ¿ Según los requisitos del literal b) antes transcrito, si sobre los ingresos no le efectuaron retención en la fuente, de igual manera quedan obligados a presentar declaración de renta, sin importar el tope de ingresos y de patrimonio</w:t>
      </w:r>
      <w:proofErr w:type="gramStart"/>
      <w:r w:rsidR="00840740">
        <w:rPr>
          <w:rFonts w:eastAsia="Times New Roman"/>
          <w:color w:val="000000"/>
          <w:szCs w:val="24"/>
          <w:lang w:eastAsia="es-CO"/>
        </w:rPr>
        <w:t>?.</w:t>
      </w:r>
      <w:proofErr w:type="gramEnd"/>
      <w:r w:rsidR="00840740">
        <w:rPr>
          <w:rFonts w:eastAsia="Times New Roman"/>
          <w:color w:val="000000"/>
          <w:szCs w:val="24"/>
          <w:lang w:eastAsia="es-CO"/>
        </w:rPr>
        <w:t xml:space="preserve"> </w:t>
      </w:r>
    </w:p>
    <w:p w:rsidR="00840740" w:rsidRPr="00E63057" w:rsidRDefault="00E63057" w:rsidP="00840740">
      <w:pPr>
        <w:rPr>
          <w:rFonts w:eastAsia="Times New Roman"/>
          <w:b/>
          <w:color w:val="000000"/>
          <w:szCs w:val="24"/>
          <w:lang w:eastAsia="es-CO"/>
        </w:rPr>
      </w:pPr>
      <w:r w:rsidRPr="00E63057">
        <w:rPr>
          <w:rFonts w:eastAsia="Times New Roman"/>
          <w:b/>
          <w:color w:val="000000"/>
          <w:szCs w:val="24"/>
          <w:lang w:eastAsia="es-CO"/>
        </w:rPr>
        <w:t xml:space="preserve">VIGÉSIMA SEGUNDA: </w:t>
      </w:r>
    </w:p>
    <w:p w:rsidR="00840740" w:rsidRDefault="00840740" w:rsidP="00840740">
      <w:pPr>
        <w:rPr>
          <w:rFonts w:eastAsia="Times New Roman"/>
          <w:color w:val="000000"/>
          <w:szCs w:val="24"/>
          <w:lang w:eastAsia="es-CO"/>
        </w:rPr>
      </w:pPr>
    </w:p>
    <w:p w:rsidR="007A0C92" w:rsidRPr="00E63057" w:rsidRDefault="00E63057" w:rsidP="00E63057">
      <w:pPr>
        <w:rPr>
          <w:rFonts w:eastAsia="Times New Roman"/>
          <w:color w:val="000000"/>
          <w:szCs w:val="24"/>
          <w:lang w:eastAsia="es-CO"/>
        </w:rPr>
      </w:pPr>
      <w:r>
        <w:rPr>
          <w:rFonts w:eastAsia="Times New Roman"/>
          <w:color w:val="000000"/>
          <w:szCs w:val="24"/>
          <w:lang w:eastAsia="es-CO"/>
        </w:rPr>
        <w:t xml:space="preserve">El parágrafo 1 del artículo 7º del decreto 2972 de 2013 expresa: </w:t>
      </w:r>
    </w:p>
    <w:p w:rsidR="00840740" w:rsidRDefault="00840740" w:rsidP="00840740">
      <w:pPr>
        <w:spacing w:line="240" w:lineRule="auto"/>
        <w:rPr>
          <w:rFonts w:ascii="Segoe UI" w:eastAsia="Times New Roman" w:hAnsi="Segoe UI" w:cs="Segoe UI"/>
          <w:b/>
          <w:bCs/>
          <w:color w:val="000000"/>
          <w:sz w:val="18"/>
          <w:szCs w:val="18"/>
          <w:lang w:eastAsia="es-CO"/>
        </w:rPr>
      </w:pPr>
    </w:p>
    <w:p w:rsidR="00840740" w:rsidRDefault="00840740" w:rsidP="00840740">
      <w:pPr>
        <w:spacing w:line="240" w:lineRule="auto"/>
        <w:rPr>
          <w:rFonts w:ascii="Segoe UI" w:eastAsia="Times New Roman" w:hAnsi="Segoe UI" w:cs="Segoe UI"/>
          <w:b/>
          <w:bCs/>
          <w:color w:val="000000"/>
          <w:sz w:val="18"/>
          <w:szCs w:val="18"/>
          <w:lang w:eastAsia="es-CO"/>
        </w:rPr>
      </w:pPr>
    </w:p>
    <w:p w:rsidR="00840740" w:rsidRPr="00E63057" w:rsidRDefault="00E63057" w:rsidP="00E63057">
      <w:pPr>
        <w:ind w:left="567" w:right="567"/>
        <w:rPr>
          <w:rFonts w:eastAsia="Times New Roman"/>
          <w:color w:val="000000"/>
          <w:szCs w:val="24"/>
          <w:lang w:eastAsia="es-CO"/>
        </w:rPr>
      </w:pPr>
      <w:r>
        <w:rPr>
          <w:rFonts w:eastAsia="Times New Roman"/>
          <w:b/>
          <w:bCs/>
          <w:color w:val="000000"/>
          <w:szCs w:val="24"/>
          <w:lang w:eastAsia="es-CO"/>
        </w:rPr>
        <w:t>“</w:t>
      </w:r>
      <w:r w:rsidR="00840740" w:rsidRPr="00E63057">
        <w:rPr>
          <w:rFonts w:eastAsia="Times New Roman"/>
          <w:b/>
          <w:bCs/>
          <w:color w:val="000000"/>
          <w:szCs w:val="24"/>
          <w:lang w:eastAsia="es-CO"/>
        </w:rPr>
        <w:t>Parágrafo 1°.</w:t>
      </w:r>
      <w:r w:rsidR="00840740" w:rsidRPr="00E63057">
        <w:rPr>
          <w:rFonts w:eastAsia="Times New Roman"/>
          <w:color w:val="000000"/>
          <w:szCs w:val="24"/>
          <w:lang w:eastAsia="es-CO"/>
        </w:rPr>
        <w:t xml:space="preserve"> Para efectos de establecer la cuantía de los ingresos brutos a que hacen referencia los numerales 2 de los literales a), b) y c) del presente artículo, </w:t>
      </w:r>
      <w:r w:rsidR="00840740" w:rsidRPr="00E63057">
        <w:rPr>
          <w:rFonts w:eastAsia="Times New Roman"/>
          <w:b/>
          <w:color w:val="000000"/>
          <w:szCs w:val="24"/>
          <w:u w:val="single"/>
          <w:lang w:eastAsia="es-CO"/>
        </w:rPr>
        <w:t>deberán sumarse todos los ingresos provenientes de cualquier actividad económica</w:t>
      </w:r>
      <w:r w:rsidR="00840740" w:rsidRPr="00E63057">
        <w:rPr>
          <w:rFonts w:eastAsia="Times New Roman"/>
          <w:color w:val="000000"/>
          <w:szCs w:val="24"/>
          <w:lang w:eastAsia="es-CO"/>
        </w:rPr>
        <w:t>, con independencia de la categoría de persona natural a la que se pertenezca.</w:t>
      </w:r>
      <w:r>
        <w:rPr>
          <w:rFonts w:eastAsia="Times New Roman"/>
          <w:color w:val="000000"/>
          <w:szCs w:val="24"/>
          <w:lang w:eastAsia="es-CO"/>
        </w:rPr>
        <w:t>”</w:t>
      </w:r>
    </w:p>
    <w:p w:rsidR="00EE0E34" w:rsidRPr="00E63057" w:rsidRDefault="00EE0E34" w:rsidP="00E63057">
      <w:pPr>
        <w:ind w:left="567" w:right="567"/>
        <w:rPr>
          <w:rFonts w:eastAsia="Times New Roman"/>
          <w:szCs w:val="24"/>
          <w:lang w:eastAsia="es-CO"/>
        </w:rPr>
      </w:pPr>
    </w:p>
    <w:p w:rsidR="00EE0E34" w:rsidRPr="00D57AF3" w:rsidRDefault="00A6596F" w:rsidP="00396615">
      <w:pPr>
        <w:rPr>
          <w:rFonts w:eastAsia="Times New Roman"/>
          <w:b/>
          <w:szCs w:val="24"/>
          <w:lang w:eastAsia="es-CO"/>
        </w:rPr>
      </w:pPr>
      <w:r w:rsidRPr="00D57AF3">
        <w:rPr>
          <w:rFonts w:eastAsia="Times New Roman"/>
          <w:b/>
          <w:szCs w:val="24"/>
          <w:lang w:eastAsia="es-CO"/>
        </w:rPr>
        <w:t>PREGUNTA</w:t>
      </w:r>
      <w:r w:rsidR="00D62411" w:rsidRPr="00D57AF3">
        <w:rPr>
          <w:rFonts w:eastAsia="Times New Roman"/>
          <w:b/>
          <w:szCs w:val="24"/>
          <w:lang w:eastAsia="es-CO"/>
        </w:rPr>
        <w:t>S</w:t>
      </w:r>
      <w:r w:rsidRPr="00D57AF3">
        <w:rPr>
          <w:rFonts w:eastAsia="Times New Roman"/>
          <w:b/>
          <w:szCs w:val="24"/>
          <w:lang w:eastAsia="es-CO"/>
        </w:rPr>
        <w:t xml:space="preserve">: </w:t>
      </w:r>
    </w:p>
    <w:p w:rsidR="00A6596F" w:rsidRDefault="00A6596F" w:rsidP="00396615">
      <w:pPr>
        <w:rPr>
          <w:rFonts w:eastAsia="Times New Roman"/>
          <w:szCs w:val="24"/>
          <w:lang w:eastAsia="es-CO"/>
        </w:rPr>
      </w:pPr>
    </w:p>
    <w:p w:rsidR="00A6596F" w:rsidRDefault="00D62411" w:rsidP="00396615">
      <w:pPr>
        <w:rPr>
          <w:rFonts w:eastAsia="Times New Roman"/>
          <w:szCs w:val="24"/>
          <w:lang w:eastAsia="es-CO"/>
        </w:rPr>
      </w:pPr>
      <w:r w:rsidRPr="001C2B54">
        <w:rPr>
          <w:rFonts w:eastAsia="Times New Roman"/>
          <w:b/>
          <w:szCs w:val="24"/>
          <w:lang w:eastAsia="es-CO"/>
        </w:rPr>
        <w:t>22.1.</w:t>
      </w:r>
      <w:r>
        <w:rPr>
          <w:rFonts w:eastAsia="Times New Roman"/>
          <w:szCs w:val="24"/>
          <w:lang w:eastAsia="es-CO"/>
        </w:rPr>
        <w:t xml:space="preserve"> </w:t>
      </w:r>
      <w:r w:rsidR="00A6596F">
        <w:rPr>
          <w:rFonts w:eastAsia="Times New Roman"/>
          <w:szCs w:val="24"/>
          <w:lang w:eastAsia="es-CO"/>
        </w:rPr>
        <w:t xml:space="preserve">En el caso de personas naturales que no desarrollan actividad económica alguna </w:t>
      </w:r>
      <w:r>
        <w:rPr>
          <w:rFonts w:eastAsia="Times New Roman"/>
          <w:szCs w:val="24"/>
          <w:lang w:eastAsia="es-CO"/>
        </w:rPr>
        <w:t xml:space="preserve">(actividad 081 Rut) y en el año gravable hayan enajenaron  un bien que supere la suma de 1.400 </w:t>
      </w:r>
      <w:proofErr w:type="spellStart"/>
      <w:r>
        <w:rPr>
          <w:rFonts w:eastAsia="Times New Roman"/>
          <w:szCs w:val="24"/>
          <w:lang w:eastAsia="es-CO"/>
        </w:rPr>
        <w:t>uvt</w:t>
      </w:r>
      <w:proofErr w:type="spellEnd"/>
      <w:r>
        <w:rPr>
          <w:rFonts w:eastAsia="Times New Roman"/>
          <w:szCs w:val="24"/>
          <w:lang w:eastAsia="es-CO"/>
        </w:rPr>
        <w:t xml:space="preserve">, estaría obligada </w:t>
      </w:r>
      <w:r w:rsidRPr="00D62411">
        <w:rPr>
          <w:rFonts w:eastAsia="Times New Roman"/>
          <w:sz w:val="32"/>
          <w:szCs w:val="32"/>
          <w:lang w:eastAsia="es-CO"/>
        </w:rPr>
        <w:t>sí o no</w:t>
      </w:r>
      <w:r>
        <w:rPr>
          <w:rFonts w:eastAsia="Times New Roman"/>
          <w:szCs w:val="24"/>
          <w:lang w:eastAsia="es-CO"/>
        </w:rPr>
        <w:t xml:space="preserve"> a declarar en el entendido que la venta no se genera por el desarrollo de actividad económica alguna</w:t>
      </w:r>
      <w:proofErr w:type="gramStart"/>
      <w:r>
        <w:rPr>
          <w:rFonts w:eastAsia="Times New Roman"/>
          <w:szCs w:val="24"/>
          <w:lang w:eastAsia="es-CO"/>
        </w:rPr>
        <w:t>?</w:t>
      </w:r>
      <w:proofErr w:type="gramEnd"/>
      <w:r>
        <w:rPr>
          <w:rFonts w:eastAsia="Times New Roman"/>
          <w:szCs w:val="24"/>
          <w:lang w:eastAsia="es-CO"/>
        </w:rPr>
        <w:t xml:space="preserve"> </w:t>
      </w:r>
    </w:p>
    <w:p w:rsidR="00EE0E34" w:rsidRDefault="00EE0E34" w:rsidP="00396615">
      <w:pPr>
        <w:rPr>
          <w:rFonts w:eastAsia="Times New Roman"/>
          <w:szCs w:val="24"/>
          <w:lang w:eastAsia="es-CO"/>
        </w:rPr>
      </w:pPr>
    </w:p>
    <w:p w:rsidR="0077111D" w:rsidRPr="009E2B51" w:rsidRDefault="00904955" w:rsidP="00396615">
      <w:pPr>
        <w:rPr>
          <w:rFonts w:eastAsia="Times New Roman"/>
          <w:b/>
          <w:szCs w:val="24"/>
          <w:lang w:eastAsia="es-CO"/>
        </w:rPr>
      </w:pPr>
      <w:r w:rsidRPr="0077111D">
        <w:rPr>
          <w:rFonts w:eastAsia="Times New Roman"/>
          <w:b/>
          <w:szCs w:val="24"/>
          <w:lang w:eastAsia="es-CO"/>
        </w:rPr>
        <w:lastRenderedPageBreak/>
        <w:t xml:space="preserve">22.2. </w:t>
      </w:r>
      <w:r w:rsidR="0077111D">
        <w:rPr>
          <w:rFonts w:eastAsia="Times New Roman"/>
          <w:szCs w:val="24"/>
          <w:lang w:eastAsia="es-CO"/>
        </w:rPr>
        <w:t xml:space="preserve">Para el año gravable 2012 el parágrafo 1º del artículo 7º del Decreto 2634 del 17 de diciembre de 2012, expresó: </w:t>
      </w:r>
    </w:p>
    <w:p w:rsidR="0077111D" w:rsidRDefault="0077111D" w:rsidP="00396615">
      <w:pPr>
        <w:rPr>
          <w:rFonts w:eastAsia="Times New Roman"/>
          <w:szCs w:val="24"/>
          <w:lang w:eastAsia="es-CO"/>
        </w:rPr>
      </w:pPr>
    </w:p>
    <w:p w:rsidR="0077111D" w:rsidRPr="005215DF" w:rsidRDefault="0077111D" w:rsidP="0077111D">
      <w:pPr>
        <w:ind w:left="567" w:right="567"/>
        <w:rPr>
          <w:rFonts w:eastAsia="Times New Roman"/>
          <w:szCs w:val="24"/>
          <w:lang w:eastAsia="es-ES"/>
        </w:rPr>
      </w:pPr>
      <w:r>
        <w:rPr>
          <w:rFonts w:eastAsia="Times New Roman"/>
          <w:b/>
          <w:szCs w:val="24"/>
          <w:lang w:eastAsia="es-ES"/>
        </w:rPr>
        <w:t>“</w:t>
      </w:r>
      <w:r w:rsidRPr="005215DF">
        <w:rPr>
          <w:rFonts w:eastAsia="Times New Roman"/>
          <w:b/>
          <w:szCs w:val="24"/>
          <w:lang w:eastAsia="es-ES"/>
        </w:rPr>
        <w:t>Parágrafo 1°.</w:t>
      </w:r>
      <w:r w:rsidRPr="005215DF">
        <w:rPr>
          <w:rFonts w:eastAsia="Times New Roman"/>
          <w:szCs w:val="24"/>
          <w:lang w:eastAsia="es-ES"/>
        </w:rPr>
        <w:t xml:space="preserve"> Dentro de los ingresos que sirven de base para efectuar el cómputo a que se refiere el literal b) del presente artículo, no deben incluirse los correspondientes a la enajenación de activos fijos, ni los provenientes de loterías, rifas, apuestas o similares.</w:t>
      </w:r>
    </w:p>
    <w:p w:rsidR="0077111D" w:rsidRPr="005215DF" w:rsidRDefault="0077111D" w:rsidP="0077111D">
      <w:pPr>
        <w:ind w:left="567" w:right="567"/>
        <w:rPr>
          <w:rFonts w:eastAsia="Times New Roman"/>
          <w:szCs w:val="24"/>
          <w:lang w:eastAsia="es-ES"/>
        </w:rPr>
      </w:pPr>
      <w:r w:rsidRPr="005215DF">
        <w:rPr>
          <w:rFonts w:eastAsia="Times New Roman"/>
          <w:szCs w:val="24"/>
          <w:lang w:eastAsia="es-ES"/>
        </w:rPr>
        <w:t> </w:t>
      </w:r>
    </w:p>
    <w:p w:rsidR="0077111D" w:rsidRDefault="0077111D" w:rsidP="0077111D">
      <w:pPr>
        <w:ind w:left="567" w:right="567"/>
        <w:rPr>
          <w:rFonts w:eastAsia="Times New Roman"/>
          <w:szCs w:val="24"/>
          <w:lang w:eastAsia="es-ES"/>
        </w:rPr>
      </w:pPr>
      <w:r w:rsidRPr="005215DF">
        <w:rPr>
          <w:rFonts w:eastAsia="Times New Roman"/>
          <w:szCs w:val="24"/>
          <w:lang w:eastAsia="es-ES"/>
        </w:rPr>
        <w:t>En el caso de los contribuyentes de menores ingresos y trabajadores independientes a que se refieren los literales a) y c) del presente artículo, para efectos del cómputo de los ingresos deberán incluir también los correspondientes a enajenación de activos fijos, lote</w:t>
      </w:r>
      <w:r w:rsidRPr="005215DF">
        <w:rPr>
          <w:rFonts w:eastAsia="Times New Roman"/>
          <w:szCs w:val="24"/>
          <w:lang w:eastAsia="es-ES"/>
        </w:rPr>
        <w:softHyphen/>
        <w:t>rías, rifas, apuestas o similares, así como los originados en herencias, legados, donaciones y porción conyugal.</w:t>
      </w:r>
      <w:r>
        <w:rPr>
          <w:rFonts w:eastAsia="Times New Roman"/>
          <w:szCs w:val="24"/>
          <w:lang w:eastAsia="es-ES"/>
        </w:rPr>
        <w:t>”</w:t>
      </w:r>
    </w:p>
    <w:p w:rsidR="0077111D" w:rsidRDefault="0077111D" w:rsidP="0077111D">
      <w:pPr>
        <w:ind w:right="567"/>
        <w:rPr>
          <w:rFonts w:eastAsia="Times New Roman"/>
          <w:szCs w:val="24"/>
          <w:lang w:eastAsia="es-ES"/>
        </w:rPr>
      </w:pPr>
    </w:p>
    <w:p w:rsidR="0077111D" w:rsidRPr="0077111D" w:rsidRDefault="0077111D" w:rsidP="0077111D">
      <w:pPr>
        <w:ind w:right="567"/>
        <w:rPr>
          <w:rFonts w:eastAsia="Times New Roman"/>
          <w:b/>
          <w:szCs w:val="24"/>
          <w:lang w:eastAsia="es-ES"/>
        </w:rPr>
      </w:pPr>
      <w:r w:rsidRPr="0077111D">
        <w:rPr>
          <w:rFonts w:eastAsia="Times New Roman"/>
          <w:b/>
          <w:szCs w:val="24"/>
          <w:lang w:eastAsia="es-ES"/>
        </w:rPr>
        <w:t xml:space="preserve">PREGUNTA: </w:t>
      </w:r>
    </w:p>
    <w:p w:rsidR="0077111D" w:rsidRDefault="0077111D" w:rsidP="0077111D">
      <w:pPr>
        <w:ind w:right="567"/>
        <w:rPr>
          <w:rFonts w:eastAsia="Times New Roman"/>
          <w:szCs w:val="24"/>
          <w:lang w:eastAsia="es-ES"/>
        </w:rPr>
      </w:pPr>
    </w:p>
    <w:p w:rsidR="0077111D" w:rsidRDefault="0077111D" w:rsidP="0077111D">
      <w:pPr>
        <w:rPr>
          <w:rFonts w:eastAsia="Times New Roman"/>
          <w:szCs w:val="24"/>
          <w:lang w:eastAsia="es-ES"/>
        </w:rPr>
      </w:pPr>
      <w:r>
        <w:rPr>
          <w:rFonts w:eastAsia="Times New Roman"/>
          <w:szCs w:val="24"/>
          <w:lang w:eastAsia="es-ES"/>
        </w:rPr>
        <w:t xml:space="preserve">Como para el año gravable 2013 se modificó la redacción </w:t>
      </w:r>
      <w:r w:rsidRPr="00800458">
        <w:rPr>
          <w:rFonts w:eastAsia="Times New Roman"/>
          <w:b/>
          <w:szCs w:val="24"/>
          <w:lang w:eastAsia="es-ES"/>
        </w:rPr>
        <w:t>y se indica que se deben incluir los ingresos provenientes de cualquier actividad económica</w:t>
      </w:r>
      <w:r>
        <w:rPr>
          <w:rFonts w:eastAsia="Times New Roman"/>
          <w:szCs w:val="24"/>
          <w:lang w:eastAsia="es-ES"/>
        </w:rPr>
        <w:t>, es correcto interpretar entonces que para el año gravable</w:t>
      </w:r>
      <w:r w:rsidR="00800458">
        <w:rPr>
          <w:rFonts w:eastAsia="Times New Roman"/>
          <w:szCs w:val="24"/>
          <w:lang w:eastAsia="es-ES"/>
        </w:rPr>
        <w:t xml:space="preserve"> 2013, los ingresos</w:t>
      </w:r>
      <w:r>
        <w:rPr>
          <w:rFonts w:eastAsia="Times New Roman"/>
          <w:szCs w:val="24"/>
          <w:lang w:eastAsia="es-ES"/>
        </w:rPr>
        <w:t xml:space="preserve"> obtenidos por concepto de enajenación de activos fijos, loterías, rifas, apuestas o similares, así como los originados en herencias, legados, donaciones y porción conyugal, los cuales no proceden del desarrollo de actividad económica alguna, no se incluyen en el cálculo para establecer el tope de ingresos</w:t>
      </w:r>
      <w:r w:rsidR="00800458">
        <w:rPr>
          <w:rFonts w:eastAsia="Times New Roman"/>
          <w:szCs w:val="24"/>
          <w:lang w:eastAsia="es-ES"/>
        </w:rPr>
        <w:t xml:space="preserve"> señalados </w:t>
      </w:r>
      <w:r>
        <w:rPr>
          <w:rFonts w:eastAsia="Times New Roman"/>
          <w:szCs w:val="24"/>
          <w:lang w:eastAsia="es-ES"/>
        </w:rPr>
        <w:t xml:space="preserve"> en los numerales 2 de los literales a), b) y c) del artículo 7º del decreto 2972 de 2013?. </w:t>
      </w:r>
    </w:p>
    <w:p w:rsidR="00C61C27" w:rsidRDefault="00C61C27" w:rsidP="0077111D">
      <w:pPr>
        <w:rPr>
          <w:rFonts w:eastAsia="Times New Roman"/>
          <w:szCs w:val="24"/>
          <w:lang w:eastAsia="es-ES"/>
        </w:rPr>
      </w:pPr>
    </w:p>
    <w:p w:rsidR="00C61C27" w:rsidRDefault="00C61C27" w:rsidP="0077111D">
      <w:pPr>
        <w:rPr>
          <w:rFonts w:eastAsia="Times New Roman"/>
          <w:szCs w:val="24"/>
          <w:lang w:eastAsia="es-ES"/>
        </w:rPr>
      </w:pPr>
      <w:r>
        <w:rPr>
          <w:rFonts w:eastAsia="Times New Roman"/>
          <w:szCs w:val="24"/>
          <w:lang w:eastAsia="es-ES"/>
        </w:rPr>
        <w:t xml:space="preserve">Es conveniente aclarar en este punto, que la Dirección de Gestión Jurídica en el Oficio No. 088070 del 9 de noviembre de 2011 en referencia a trabajadores independientes que efectúan aportes a los fondos de pensiones, trata el tema de los ingresos que provienen del desarrollo de actividades económicas, reconociendo que por ejemplo las loterías, rifas, premios entre otros, no provienen del desarrollo de una actividad económica. </w:t>
      </w:r>
    </w:p>
    <w:p w:rsidR="00C61C27" w:rsidRDefault="00C61C27" w:rsidP="0077111D">
      <w:pPr>
        <w:rPr>
          <w:rFonts w:eastAsia="Times New Roman"/>
          <w:szCs w:val="24"/>
          <w:lang w:eastAsia="es-ES"/>
        </w:rPr>
      </w:pPr>
    </w:p>
    <w:p w:rsidR="00904955" w:rsidRDefault="00904955" w:rsidP="00396615">
      <w:pPr>
        <w:rPr>
          <w:rFonts w:eastAsia="Times New Roman"/>
          <w:szCs w:val="24"/>
          <w:lang w:eastAsia="es-CO"/>
        </w:rPr>
      </w:pPr>
    </w:p>
    <w:p w:rsidR="00EB42C1" w:rsidRPr="00EB42C1" w:rsidRDefault="00EB42C1" w:rsidP="00396615">
      <w:pPr>
        <w:rPr>
          <w:rFonts w:eastAsia="Times New Roman"/>
          <w:b/>
          <w:szCs w:val="24"/>
          <w:lang w:eastAsia="es-CO"/>
        </w:rPr>
      </w:pPr>
      <w:r w:rsidRPr="00EB42C1">
        <w:rPr>
          <w:rFonts w:eastAsia="Times New Roman"/>
          <w:b/>
          <w:szCs w:val="24"/>
          <w:lang w:eastAsia="es-CO"/>
        </w:rPr>
        <w:t xml:space="preserve">VIGÉSIMA TERCERA: </w:t>
      </w:r>
    </w:p>
    <w:p w:rsidR="00EB42C1" w:rsidRDefault="00EB42C1" w:rsidP="00396615">
      <w:pPr>
        <w:rPr>
          <w:rFonts w:eastAsia="Times New Roman"/>
          <w:szCs w:val="24"/>
          <w:lang w:eastAsia="es-CO"/>
        </w:rPr>
      </w:pPr>
    </w:p>
    <w:p w:rsidR="00EB42C1" w:rsidRPr="00EB42C1" w:rsidRDefault="00EB42C1" w:rsidP="00EB42C1">
      <w:pPr>
        <w:widowControl w:val="0"/>
        <w:kinsoku w:val="0"/>
        <w:rPr>
          <w:rFonts w:eastAsia="Times New Roman"/>
          <w:b/>
          <w:szCs w:val="24"/>
          <w:u w:val="single"/>
          <w:lang w:val="es-ES" w:eastAsia="es-ES"/>
        </w:rPr>
      </w:pPr>
      <w:r>
        <w:rPr>
          <w:rFonts w:eastAsia="Times New Roman"/>
          <w:szCs w:val="24"/>
          <w:lang w:eastAsia="es-CO"/>
        </w:rPr>
        <w:t xml:space="preserve">La Dirección de Gestión Jurídica en el Concepto No. 034897 de Mayo 18 de 2010, expresa que en si las entidades del numeral 1 del artículo 19 del E.T no ejecutan en el año siguiente el beneficio neto o excedente, éste no será exento y se </w:t>
      </w:r>
      <w:r w:rsidRPr="00EB42C1">
        <w:rPr>
          <w:rFonts w:eastAsia="Times New Roman"/>
          <w:b/>
          <w:szCs w:val="24"/>
          <w:lang w:val="es-ES" w:eastAsia="es-ES"/>
        </w:rPr>
        <w:t xml:space="preserve">adicionará corno ingreso gravable </w:t>
      </w:r>
      <w:r w:rsidRPr="00EB42C1">
        <w:rPr>
          <w:rFonts w:eastAsia="Times New Roman"/>
          <w:b/>
          <w:szCs w:val="24"/>
          <w:lang w:val="es-ES" w:eastAsia="es-ES"/>
        </w:rPr>
        <w:lastRenderedPageBreak/>
        <w:t xml:space="preserve">a la declaración del impuesto sobre la renta, del periodo gravable que está siendo objeto de investigación y en el cual la Administración en ejercicio de sus facultades de fiscalización </w:t>
      </w:r>
      <w:r>
        <w:rPr>
          <w:rFonts w:eastAsia="Times New Roman"/>
          <w:b/>
          <w:szCs w:val="24"/>
          <w:u w:val="single"/>
          <w:lang w:val="es-ES" w:eastAsia="es-ES"/>
        </w:rPr>
        <w:t>detectó</w:t>
      </w:r>
      <w:r w:rsidRPr="00EB42C1">
        <w:rPr>
          <w:rFonts w:eastAsia="Times New Roman"/>
          <w:b/>
          <w:szCs w:val="24"/>
          <w:u w:val="single"/>
          <w:lang w:val="es-ES" w:eastAsia="es-ES"/>
        </w:rPr>
        <w:t xml:space="preserve"> la no procedencia de la exención.</w:t>
      </w:r>
    </w:p>
    <w:p w:rsidR="00015E9A" w:rsidRDefault="00015E9A" w:rsidP="00396615">
      <w:pPr>
        <w:rPr>
          <w:rFonts w:eastAsia="Times New Roman"/>
          <w:b/>
          <w:szCs w:val="24"/>
          <w:lang w:val="es-ES" w:eastAsia="es-CO"/>
        </w:rPr>
      </w:pPr>
    </w:p>
    <w:p w:rsidR="00015E9A" w:rsidRDefault="00015E9A" w:rsidP="00396615">
      <w:pPr>
        <w:rPr>
          <w:rFonts w:eastAsia="Times New Roman"/>
          <w:b/>
          <w:szCs w:val="24"/>
          <w:lang w:val="es-ES" w:eastAsia="es-CO"/>
        </w:rPr>
      </w:pPr>
    </w:p>
    <w:p w:rsidR="00EB42C1" w:rsidRPr="00EB42C1" w:rsidRDefault="00EB42C1" w:rsidP="00396615">
      <w:pPr>
        <w:rPr>
          <w:rFonts w:eastAsia="Times New Roman"/>
          <w:b/>
          <w:szCs w:val="24"/>
          <w:lang w:val="es-ES" w:eastAsia="es-CO"/>
        </w:rPr>
      </w:pPr>
      <w:r w:rsidRPr="00EB42C1">
        <w:rPr>
          <w:rFonts w:eastAsia="Times New Roman"/>
          <w:b/>
          <w:szCs w:val="24"/>
          <w:lang w:val="es-ES" w:eastAsia="es-CO"/>
        </w:rPr>
        <w:t xml:space="preserve">PREGUNTA: </w:t>
      </w:r>
    </w:p>
    <w:p w:rsidR="00EB42C1" w:rsidRDefault="00EB42C1" w:rsidP="00396615">
      <w:pPr>
        <w:rPr>
          <w:rFonts w:eastAsia="Times New Roman"/>
          <w:szCs w:val="24"/>
          <w:lang w:val="es-ES" w:eastAsia="es-CO"/>
        </w:rPr>
      </w:pPr>
    </w:p>
    <w:p w:rsidR="00EB42C1" w:rsidRPr="00EB42C1" w:rsidRDefault="00EB42C1" w:rsidP="00396615">
      <w:pPr>
        <w:rPr>
          <w:rFonts w:eastAsia="Times New Roman"/>
          <w:szCs w:val="24"/>
          <w:lang w:val="es-ES" w:eastAsia="es-CO"/>
        </w:rPr>
      </w:pPr>
      <w:r>
        <w:rPr>
          <w:rFonts w:eastAsia="Times New Roman"/>
          <w:szCs w:val="24"/>
          <w:lang w:val="es-ES" w:eastAsia="es-CO"/>
        </w:rPr>
        <w:t>¿La inclusión se hará así la declaración de renta del año objeto de beneficio esté en firme?, o sólo si la declaración no está en firme y es modificada la declaración privada de la entidad</w:t>
      </w:r>
      <w:proofErr w:type="gramStart"/>
      <w:r>
        <w:rPr>
          <w:rFonts w:eastAsia="Times New Roman"/>
          <w:szCs w:val="24"/>
          <w:lang w:val="es-ES" w:eastAsia="es-CO"/>
        </w:rPr>
        <w:t>?.</w:t>
      </w:r>
      <w:proofErr w:type="gramEnd"/>
      <w:r>
        <w:rPr>
          <w:rFonts w:eastAsia="Times New Roman"/>
          <w:szCs w:val="24"/>
          <w:lang w:val="es-ES" w:eastAsia="es-CO"/>
        </w:rPr>
        <w:t xml:space="preserve"> </w:t>
      </w:r>
    </w:p>
    <w:p w:rsidR="00EB42C1" w:rsidRDefault="00EB42C1" w:rsidP="00396615">
      <w:pPr>
        <w:rPr>
          <w:rFonts w:eastAsia="Times New Roman"/>
          <w:szCs w:val="24"/>
          <w:lang w:eastAsia="es-CO"/>
        </w:rPr>
      </w:pPr>
    </w:p>
    <w:p w:rsidR="00EB42C1" w:rsidRDefault="00EB42C1" w:rsidP="00396615">
      <w:pPr>
        <w:rPr>
          <w:rFonts w:eastAsia="Times New Roman"/>
          <w:szCs w:val="24"/>
          <w:lang w:eastAsia="es-CO"/>
        </w:rPr>
      </w:pPr>
    </w:p>
    <w:p w:rsidR="00EB42C1" w:rsidRDefault="00EB42C1" w:rsidP="00396615">
      <w:pPr>
        <w:rPr>
          <w:rFonts w:eastAsia="Times New Roman"/>
          <w:szCs w:val="24"/>
          <w:lang w:eastAsia="es-CO"/>
        </w:rPr>
      </w:pPr>
    </w:p>
    <w:p w:rsidR="00E401FE" w:rsidRDefault="00E401FE" w:rsidP="00396615">
      <w:pPr>
        <w:rPr>
          <w:rFonts w:eastAsia="Times New Roman"/>
          <w:szCs w:val="24"/>
          <w:lang w:eastAsia="es-CO"/>
        </w:rPr>
      </w:pPr>
      <w:r>
        <w:rPr>
          <w:rFonts w:eastAsia="Times New Roman"/>
          <w:szCs w:val="24"/>
          <w:lang w:eastAsia="es-CO"/>
        </w:rPr>
        <w:t>Atentamente.</w:t>
      </w:r>
    </w:p>
    <w:p w:rsidR="00E401FE" w:rsidRDefault="00E401FE" w:rsidP="00396615">
      <w:pPr>
        <w:rPr>
          <w:rFonts w:eastAsia="Times New Roman"/>
          <w:szCs w:val="24"/>
          <w:lang w:eastAsia="es-CO"/>
        </w:rPr>
      </w:pPr>
    </w:p>
    <w:p w:rsidR="009E2B51" w:rsidRDefault="009E2B51" w:rsidP="00396615">
      <w:pPr>
        <w:rPr>
          <w:rFonts w:eastAsia="Times New Roman"/>
          <w:szCs w:val="24"/>
          <w:lang w:eastAsia="es-CO"/>
        </w:rPr>
      </w:pPr>
    </w:p>
    <w:p w:rsidR="00E401FE" w:rsidRDefault="00E401FE" w:rsidP="00396615">
      <w:pPr>
        <w:rPr>
          <w:rFonts w:eastAsia="Times New Roman"/>
          <w:szCs w:val="24"/>
          <w:lang w:eastAsia="es-CO"/>
        </w:rPr>
      </w:pPr>
      <w:r>
        <w:rPr>
          <w:rFonts w:eastAsia="Times New Roman"/>
          <w:szCs w:val="24"/>
          <w:lang w:eastAsia="es-CO"/>
        </w:rPr>
        <w:t xml:space="preserve">GUILLERMO ALZATE DUQUE </w:t>
      </w:r>
    </w:p>
    <w:p w:rsidR="00E401FE" w:rsidRDefault="00E401FE" w:rsidP="00396615">
      <w:pPr>
        <w:rPr>
          <w:rFonts w:eastAsia="Times New Roman"/>
          <w:szCs w:val="24"/>
          <w:lang w:eastAsia="es-CO"/>
        </w:rPr>
      </w:pPr>
      <w:r>
        <w:rPr>
          <w:rFonts w:eastAsia="Times New Roman"/>
          <w:szCs w:val="24"/>
          <w:lang w:eastAsia="es-CO"/>
        </w:rPr>
        <w:t>C.C. No. 10.215.729 de Manizales</w:t>
      </w:r>
    </w:p>
    <w:p w:rsidR="00E401FE" w:rsidRDefault="00E401FE" w:rsidP="00396615">
      <w:pPr>
        <w:rPr>
          <w:rFonts w:eastAsia="Times New Roman"/>
          <w:szCs w:val="24"/>
          <w:lang w:eastAsia="es-CO"/>
        </w:rPr>
      </w:pPr>
      <w:r>
        <w:rPr>
          <w:rFonts w:eastAsia="Times New Roman"/>
          <w:szCs w:val="24"/>
          <w:lang w:eastAsia="es-CO"/>
        </w:rPr>
        <w:t>Dirección para respuesta: Carrera 20 B No. 65-35 – Manizales</w:t>
      </w:r>
    </w:p>
    <w:p w:rsidR="00E401FE" w:rsidRDefault="00E401FE" w:rsidP="00396615">
      <w:pPr>
        <w:rPr>
          <w:rFonts w:eastAsia="Times New Roman"/>
          <w:szCs w:val="24"/>
          <w:lang w:eastAsia="es-CO"/>
        </w:rPr>
      </w:pPr>
      <w:r>
        <w:rPr>
          <w:rFonts w:eastAsia="Times New Roman"/>
          <w:szCs w:val="24"/>
          <w:lang w:eastAsia="es-CO"/>
        </w:rPr>
        <w:t>Cel. 312-831-2789.</w:t>
      </w:r>
    </w:p>
    <w:p w:rsidR="00E401FE" w:rsidRDefault="00E401FE" w:rsidP="00396615">
      <w:pPr>
        <w:rPr>
          <w:rFonts w:eastAsia="Times New Roman"/>
          <w:szCs w:val="24"/>
          <w:lang w:eastAsia="es-CO"/>
        </w:rPr>
      </w:pPr>
      <w:r>
        <w:rPr>
          <w:rFonts w:eastAsia="Times New Roman"/>
          <w:szCs w:val="24"/>
          <w:lang w:eastAsia="es-CO"/>
        </w:rPr>
        <w:t>Correo: alzateasesores@gmail.com</w:t>
      </w:r>
    </w:p>
    <w:sectPr w:rsidR="00E401FE" w:rsidSect="003B5534">
      <w:headerReference w:type="default" r:id="rId12"/>
      <w:footerReference w:type="default" r:id="rId13"/>
      <w:pgSz w:w="12191"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65" w:rsidRDefault="00182B65" w:rsidP="00F25391">
      <w:pPr>
        <w:spacing w:line="240" w:lineRule="auto"/>
      </w:pPr>
      <w:r>
        <w:separator/>
      </w:r>
    </w:p>
  </w:endnote>
  <w:endnote w:type="continuationSeparator" w:id="0">
    <w:p w:rsidR="00182B65" w:rsidRDefault="00182B65" w:rsidP="00F25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117968"/>
      <w:docPartObj>
        <w:docPartGallery w:val="Page Numbers (Bottom of Page)"/>
        <w:docPartUnique/>
      </w:docPartObj>
    </w:sdtPr>
    <w:sdtEndPr/>
    <w:sdtContent>
      <w:p w:rsidR="00F25391" w:rsidRDefault="00F25391">
        <w:pPr>
          <w:pStyle w:val="Piedepgina"/>
          <w:jc w:val="center"/>
        </w:pPr>
        <w:r>
          <w:fldChar w:fldCharType="begin"/>
        </w:r>
        <w:r>
          <w:instrText>PAGE   \* MERGEFORMAT</w:instrText>
        </w:r>
        <w:r>
          <w:fldChar w:fldCharType="separate"/>
        </w:r>
        <w:r w:rsidR="001C6260" w:rsidRPr="001C6260">
          <w:rPr>
            <w:noProof/>
            <w:lang w:val="es-ES"/>
          </w:rPr>
          <w:t>2</w:t>
        </w:r>
        <w:r>
          <w:fldChar w:fldCharType="end"/>
        </w:r>
      </w:p>
    </w:sdtContent>
  </w:sdt>
  <w:p w:rsidR="00F25391" w:rsidRDefault="00F253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65" w:rsidRDefault="00182B65" w:rsidP="00F25391">
      <w:pPr>
        <w:spacing w:line="240" w:lineRule="auto"/>
      </w:pPr>
      <w:r>
        <w:separator/>
      </w:r>
    </w:p>
  </w:footnote>
  <w:footnote w:type="continuationSeparator" w:id="0">
    <w:p w:rsidR="00182B65" w:rsidRDefault="00182B65" w:rsidP="00F253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20930"/>
      <w:docPartObj>
        <w:docPartGallery w:val="Page Numbers (Top of Page)"/>
        <w:docPartUnique/>
      </w:docPartObj>
    </w:sdtPr>
    <w:sdtEndPr/>
    <w:sdtContent>
      <w:p w:rsidR="007A095D" w:rsidRDefault="007A095D">
        <w:pPr>
          <w:pStyle w:val="Encabezado"/>
          <w:jc w:val="right"/>
        </w:pPr>
        <w:r>
          <w:fldChar w:fldCharType="begin"/>
        </w:r>
        <w:r>
          <w:instrText>PAGE   \* MERGEFORMAT</w:instrText>
        </w:r>
        <w:r>
          <w:fldChar w:fldCharType="separate"/>
        </w:r>
        <w:r w:rsidR="001C6260" w:rsidRPr="001C6260">
          <w:rPr>
            <w:noProof/>
            <w:lang w:val="es-ES"/>
          </w:rPr>
          <w:t>2</w:t>
        </w:r>
        <w:r>
          <w:fldChar w:fldCharType="end"/>
        </w:r>
      </w:p>
    </w:sdtContent>
  </w:sdt>
  <w:p w:rsidR="007A095D" w:rsidRDefault="007A09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34"/>
    <w:rsid w:val="00005743"/>
    <w:rsid w:val="00005F21"/>
    <w:rsid w:val="00015E9A"/>
    <w:rsid w:val="000177FA"/>
    <w:rsid w:val="00023CEA"/>
    <w:rsid w:val="00026D27"/>
    <w:rsid w:val="0003002E"/>
    <w:rsid w:val="00031116"/>
    <w:rsid w:val="00062E83"/>
    <w:rsid w:val="00066AB5"/>
    <w:rsid w:val="000774D4"/>
    <w:rsid w:val="0008197B"/>
    <w:rsid w:val="000840E5"/>
    <w:rsid w:val="00087CCB"/>
    <w:rsid w:val="001751CC"/>
    <w:rsid w:val="00175D20"/>
    <w:rsid w:val="00182B65"/>
    <w:rsid w:val="00182C7D"/>
    <w:rsid w:val="0018665B"/>
    <w:rsid w:val="001C2B54"/>
    <w:rsid w:val="001C6260"/>
    <w:rsid w:val="001D657F"/>
    <w:rsid w:val="00203CE5"/>
    <w:rsid w:val="00217546"/>
    <w:rsid w:val="002252C8"/>
    <w:rsid w:val="002268D1"/>
    <w:rsid w:val="0025651F"/>
    <w:rsid w:val="002625CD"/>
    <w:rsid w:val="00274E46"/>
    <w:rsid w:val="0029402B"/>
    <w:rsid w:val="002F5C9F"/>
    <w:rsid w:val="003478AA"/>
    <w:rsid w:val="0035026E"/>
    <w:rsid w:val="0035625C"/>
    <w:rsid w:val="00363C9F"/>
    <w:rsid w:val="00366672"/>
    <w:rsid w:val="003677C7"/>
    <w:rsid w:val="003733E0"/>
    <w:rsid w:val="00396615"/>
    <w:rsid w:val="003A70E3"/>
    <w:rsid w:val="003B5534"/>
    <w:rsid w:val="003B5782"/>
    <w:rsid w:val="003D6D75"/>
    <w:rsid w:val="003D7406"/>
    <w:rsid w:val="003F2E32"/>
    <w:rsid w:val="003F493D"/>
    <w:rsid w:val="00450C68"/>
    <w:rsid w:val="00481869"/>
    <w:rsid w:val="00486281"/>
    <w:rsid w:val="00491B56"/>
    <w:rsid w:val="004A5107"/>
    <w:rsid w:val="004A6359"/>
    <w:rsid w:val="004C36E5"/>
    <w:rsid w:val="004D1750"/>
    <w:rsid w:val="004D2634"/>
    <w:rsid w:val="004D5D20"/>
    <w:rsid w:val="004E1E06"/>
    <w:rsid w:val="004E53AA"/>
    <w:rsid w:val="004F27B9"/>
    <w:rsid w:val="00507AA7"/>
    <w:rsid w:val="005668C2"/>
    <w:rsid w:val="00581D2C"/>
    <w:rsid w:val="00593491"/>
    <w:rsid w:val="005B5207"/>
    <w:rsid w:val="005E64F9"/>
    <w:rsid w:val="005F7412"/>
    <w:rsid w:val="00615AED"/>
    <w:rsid w:val="00637B06"/>
    <w:rsid w:val="00643036"/>
    <w:rsid w:val="006621FB"/>
    <w:rsid w:val="006A15CC"/>
    <w:rsid w:val="006A2062"/>
    <w:rsid w:val="006B6ADD"/>
    <w:rsid w:val="006D2FE3"/>
    <w:rsid w:val="006D4B83"/>
    <w:rsid w:val="006F6DD8"/>
    <w:rsid w:val="006F773D"/>
    <w:rsid w:val="00732E51"/>
    <w:rsid w:val="00760AC9"/>
    <w:rsid w:val="00761450"/>
    <w:rsid w:val="0077111D"/>
    <w:rsid w:val="007A095D"/>
    <w:rsid w:val="007A0C92"/>
    <w:rsid w:val="007A2EE0"/>
    <w:rsid w:val="00800458"/>
    <w:rsid w:val="00814673"/>
    <w:rsid w:val="0082610E"/>
    <w:rsid w:val="00830684"/>
    <w:rsid w:val="00832946"/>
    <w:rsid w:val="00840740"/>
    <w:rsid w:val="00850D4D"/>
    <w:rsid w:val="00852A6B"/>
    <w:rsid w:val="00853EDE"/>
    <w:rsid w:val="00856026"/>
    <w:rsid w:val="00861C9A"/>
    <w:rsid w:val="00870657"/>
    <w:rsid w:val="00882FAC"/>
    <w:rsid w:val="00890DCD"/>
    <w:rsid w:val="008A367B"/>
    <w:rsid w:val="008A3BCD"/>
    <w:rsid w:val="008A7600"/>
    <w:rsid w:val="008B1715"/>
    <w:rsid w:val="008D1D2A"/>
    <w:rsid w:val="008D40F3"/>
    <w:rsid w:val="008E4483"/>
    <w:rsid w:val="00900A54"/>
    <w:rsid w:val="009046C5"/>
    <w:rsid w:val="00904955"/>
    <w:rsid w:val="009122BC"/>
    <w:rsid w:val="0093195A"/>
    <w:rsid w:val="0093456D"/>
    <w:rsid w:val="0093610B"/>
    <w:rsid w:val="00945BF4"/>
    <w:rsid w:val="009768B1"/>
    <w:rsid w:val="009801EF"/>
    <w:rsid w:val="00980835"/>
    <w:rsid w:val="0099443D"/>
    <w:rsid w:val="00995C51"/>
    <w:rsid w:val="009A7E6B"/>
    <w:rsid w:val="009B7E29"/>
    <w:rsid w:val="009E2B51"/>
    <w:rsid w:val="00A020D2"/>
    <w:rsid w:val="00A034D4"/>
    <w:rsid w:val="00A067C7"/>
    <w:rsid w:val="00A148CE"/>
    <w:rsid w:val="00A206FE"/>
    <w:rsid w:val="00A34306"/>
    <w:rsid w:val="00A44578"/>
    <w:rsid w:val="00A56640"/>
    <w:rsid w:val="00A6596F"/>
    <w:rsid w:val="00A838A6"/>
    <w:rsid w:val="00A87B30"/>
    <w:rsid w:val="00A921B9"/>
    <w:rsid w:val="00AA5C80"/>
    <w:rsid w:val="00AC6EF0"/>
    <w:rsid w:val="00AC7D83"/>
    <w:rsid w:val="00B270E9"/>
    <w:rsid w:val="00B351E8"/>
    <w:rsid w:val="00B35708"/>
    <w:rsid w:val="00B51D80"/>
    <w:rsid w:val="00B834B1"/>
    <w:rsid w:val="00B96859"/>
    <w:rsid w:val="00BB1987"/>
    <w:rsid w:val="00C0364E"/>
    <w:rsid w:val="00C04446"/>
    <w:rsid w:val="00C04540"/>
    <w:rsid w:val="00C063F5"/>
    <w:rsid w:val="00C165C2"/>
    <w:rsid w:val="00C360B7"/>
    <w:rsid w:val="00C61C27"/>
    <w:rsid w:val="00C75026"/>
    <w:rsid w:val="00C93CA4"/>
    <w:rsid w:val="00C974B3"/>
    <w:rsid w:val="00CB40CD"/>
    <w:rsid w:val="00CB7600"/>
    <w:rsid w:val="00CC6733"/>
    <w:rsid w:val="00CF3EF1"/>
    <w:rsid w:val="00D57AF3"/>
    <w:rsid w:val="00D62411"/>
    <w:rsid w:val="00D81A58"/>
    <w:rsid w:val="00D86D1B"/>
    <w:rsid w:val="00DA7078"/>
    <w:rsid w:val="00DC7C67"/>
    <w:rsid w:val="00DF417B"/>
    <w:rsid w:val="00E00120"/>
    <w:rsid w:val="00E401FE"/>
    <w:rsid w:val="00E41039"/>
    <w:rsid w:val="00E5091B"/>
    <w:rsid w:val="00E576C0"/>
    <w:rsid w:val="00E63057"/>
    <w:rsid w:val="00E95E63"/>
    <w:rsid w:val="00EA1A74"/>
    <w:rsid w:val="00EB42C1"/>
    <w:rsid w:val="00EC34F8"/>
    <w:rsid w:val="00EE0E34"/>
    <w:rsid w:val="00EE345E"/>
    <w:rsid w:val="00F119E2"/>
    <w:rsid w:val="00F20765"/>
    <w:rsid w:val="00F2156E"/>
    <w:rsid w:val="00F25391"/>
    <w:rsid w:val="00F256F8"/>
    <w:rsid w:val="00F2777B"/>
    <w:rsid w:val="00F27DC9"/>
    <w:rsid w:val="00F473C5"/>
    <w:rsid w:val="00F620E3"/>
    <w:rsid w:val="00F716A1"/>
    <w:rsid w:val="00F7277C"/>
    <w:rsid w:val="00F911A0"/>
    <w:rsid w:val="00F933C5"/>
    <w:rsid w:val="00F949CF"/>
    <w:rsid w:val="00FB646E"/>
    <w:rsid w:val="00FC4555"/>
    <w:rsid w:val="00FF45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39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25391"/>
  </w:style>
  <w:style w:type="paragraph" w:styleId="Piedepgina">
    <w:name w:val="footer"/>
    <w:basedOn w:val="Normal"/>
    <w:link w:val="PiedepginaCar"/>
    <w:uiPriority w:val="99"/>
    <w:unhideWhenUsed/>
    <w:rsid w:val="00F2539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25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39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25391"/>
  </w:style>
  <w:style w:type="paragraph" w:styleId="Piedepgina">
    <w:name w:val="footer"/>
    <w:basedOn w:val="Normal"/>
    <w:link w:val="PiedepginaCar"/>
    <w:uiPriority w:val="99"/>
    <w:unhideWhenUsed/>
    <w:rsid w:val="00F2539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2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1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a.org.co/html/vista_de_un_articulo.asp?Norma=6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ta.org.co/html/vista_de_un_articulo.asp?Norma=156" TargetMode="External"/><Relationship Id="rId4" Type="http://schemas.openxmlformats.org/officeDocument/2006/relationships/settings" Target="settings.xml"/><Relationship Id="rId9" Type="http://schemas.openxmlformats.org/officeDocument/2006/relationships/hyperlink" Target="http://www.ceta.org.co/html/vista_de_un_articulo.asp?Norma=15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B684D-08E6-4774-85BC-AC2EE5C2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6642</Words>
  <Characters>36532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159</cp:revision>
  <dcterms:created xsi:type="dcterms:W3CDTF">2014-03-12T22:22:00Z</dcterms:created>
  <dcterms:modified xsi:type="dcterms:W3CDTF">2015-01-11T15:48:00Z</dcterms:modified>
</cp:coreProperties>
</file>